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48AE" w14:textId="77777777" w:rsidR="00936812" w:rsidRDefault="00936812" w:rsidP="00581351">
      <w:pPr>
        <w:spacing w:after="0" w:line="240" w:lineRule="auto"/>
        <w:rPr>
          <w:rFonts w:cstheme="minorHAnsi"/>
          <w:color w:val="002060"/>
          <w:sz w:val="24"/>
          <w:szCs w:val="24"/>
        </w:rPr>
      </w:pPr>
    </w:p>
    <w:p w14:paraId="410895E2" w14:textId="45B887D6" w:rsidR="00936812" w:rsidRDefault="00936812" w:rsidP="00936812">
      <w:pPr>
        <w:spacing w:after="0" w:line="240" w:lineRule="auto"/>
        <w:rPr>
          <w:rFonts w:cstheme="minorHAnsi"/>
          <w:b/>
          <w:bCs/>
          <w:color w:val="002060"/>
          <w:sz w:val="24"/>
          <w:szCs w:val="24"/>
        </w:rPr>
      </w:pPr>
      <w:r w:rsidRPr="00936812">
        <w:rPr>
          <w:rFonts w:cstheme="minorHAnsi"/>
          <w:b/>
          <w:bCs/>
          <w:color w:val="002060"/>
          <w:sz w:val="24"/>
          <w:szCs w:val="24"/>
        </w:rPr>
        <w:t xml:space="preserve">Navigating the Seas of Change: MDS </w:t>
      </w:r>
      <w:r w:rsidR="008D2401">
        <w:rPr>
          <w:rFonts w:cstheme="minorHAnsi"/>
          <w:b/>
          <w:bCs/>
          <w:color w:val="002060"/>
          <w:sz w:val="24"/>
          <w:szCs w:val="24"/>
        </w:rPr>
        <w:t>Changes</w:t>
      </w:r>
      <w:r w:rsidRPr="00936812">
        <w:rPr>
          <w:rFonts w:cstheme="minorHAnsi"/>
          <w:b/>
          <w:bCs/>
          <w:color w:val="002060"/>
          <w:sz w:val="24"/>
          <w:szCs w:val="24"/>
        </w:rPr>
        <w:t xml:space="preserve"> in LTC for FY 2024</w:t>
      </w:r>
    </w:p>
    <w:p w14:paraId="32918A10" w14:textId="77777777" w:rsidR="00936812" w:rsidRPr="00936812" w:rsidRDefault="00936812" w:rsidP="00936812">
      <w:pPr>
        <w:spacing w:after="0" w:line="240" w:lineRule="auto"/>
        <w:rPr>
          <w:rFonts w:cstheme="minorHAnsi"/>
          <w:color w:val="002060"/>
          <w:sz w:val="24"/>
          <w:szCs w:val="24"/>
        </w:rPr>
      </w:pPr>
    </w:p>
    <w:p w14:paraId="016AE336" w14:textId="3515783A" w:rsidR="00936812" w:rsidRDefault="00936812" w:rsidP="00936812">
      <w:pPr>
        <w:spacing w:after="0" w:line="240" w:lineRule="auto"/>
        <w:rPr>
          <w:rFonts w:cstheme="minorHAnsi"/>
          <w:color w:val="002060"/>
          <w:sz w:val="24"/>
          <w:szCs w:val="24"/>
        </w:rPr>
      </w:pPr>
      <w:r w:rsidRPr="00936812">
        <w:rPr>
          <w:rFonts w:cstheme="minorHAnsi"/>
          <w:color w:val="002060"/>
          <w:sz w:val="24"/>
          <w:szCs w:val="24"/>
        </w:rPr>
        <w:t xml:space="preserve">Change is the only constant, and in the dynamic landscape of the Long-Term Care (LTC) industry, adaptation is key to providing quality care. As </w:t>
      </w:r>
      <w:r>
        <w:rPr>
          <w:rFonts w:cstheme="minorHAnsi"/>
          <w:color w:val="002060"/>
          <w:sz w:val="24"/>
          <w:szCs w:val="24"/>
        </w:rPr>
        <w:t xml:space="preserve">the healthcare industry </w:t>
      </w:r>
      <w:r w:rsidRPr="00936812">
        <w:rPr>
          <w:rFonts w:cstheme="minorHAnsi"/>
          <w:color w:val="002060"/>
          <w:sz w:val="24"/>
          <w:szCs w:val="24"/>
        </w:rPr>
        <w:t>step</w:t>
      </w:r>
      <w:r>
        <w:rPr>
          <w:rFonts w:cstheme="minorHAnsi"/>
          <w:color w:val="002060"/>
          <w:sz w:val="24"/>
          <w:szCs w:val="24"/>
        </w:rPr>
        <w:t>s</w:t>
      </w:r>
      <w:r w:rsidRPr="00936812">
        <w:rPr>
          <w:rFonts w:cstheme="minorHAnsi"/>
          <w:color w:val="002060"/>
          <w:sz w:val="24"/>
          <w:szCs w:val="24"/>
        </w:rPr>
        <w:t xml:space="preserve"> into Fiscal Year 2024, significant updates to the Minimum Data Set (MDS) are poised to make waves in how </w:t>
      </w:r>
      <w:r>
        <w:rPr>
          <w:rFonts w:cstheme="minorHAnsi"/>
          <w:color w:val="002060"/>
          <w:sz w:val="24"/>
          <w:szCs w:val="24"/>
        </w:rPr>
        <w:t>providers</w:t>
      </w:r>
      <w:r w:rsidRPr="00936812">
        <w:rPr>
          <w:rFonts w:cstheme="minorHAnsi"/>
          <w:color w:val="002060"/>
          <w:sz w:val="24"/>
          <w:szCs w:val="24"/>
        </w:rPr>
        <w:t xml:space="preserve"> assess, document, and enhance the well-being of residents.</w:t>
      </w:r>
    </w:p>
    <w:p w14:paraId="728874EC" w14:textId="77777777" w:rsidR="00936812" w:rsidRDefault="00936812" w:rsidP="00581351">
      <w:pPr>
        <w:spacing w:after="0" w:line="240" w:lineRule="auto"/>
        <w:rPr>
          <w:rFonts w:cstheme="minorHAnsi"/>
          <w:color w:val="002060"/>
          <w:sz w:val="24"/>
          <w:szCs w:val="24"/>
        </w:rPr>
      </w:pPr>
    </w:p>
    <w:p w14:paraId="72798516" w14:textId="2084EEC7" w:rsidR="0052158C" w:rsidRDefault="0052158C" w:rsidP="00581351">
      <w:pPr>
        <w:spacing w:after="0" w:line="240" w:lineRule="auto"/>
        <w:rPr>
          <w:rFonts w:cstheme="minorHAnsi"/>
          <w:bCs/>
          <w:color w:val="002060"/>
          <w:sz w:val="24"/>
          <w:szCs w:val="24"/>
        </w:rPr>
      </w:pPr>
      <w:r w:rsidRPr="00581351">
        <w:rPr>
          <w:rFonts w:cstheme="minorHAnsi"/>
          <w:color w:val="002060"/>
          <w:sz w:val="24"/>
          <w:szCs w:val="24"/>
        </w:rPr>
        <w:t xml:space="preserve">Major changes to the MDS v1.18.11 for FY 2024 </w:t>
      </w:r>
      <w:r w:rsidRPr="00581351">
        <w:rPr>
          <w:rFonts w:cstheme="minorHAnsi"/>
          <w:bCs/>
          <w:color w:val="002060"/>
          <w:sz w:val="24"/>
          <w:szCs w:val="24"/>
        </w:rPr>
        <w:t xml:space="preserve">impact patient care, documentation, form changes, and payment.  </w:t>
      </w:r>
      <w:r w:rsidR="003212DF">
        <w:rPr>
          <w:rFonts w:cstheme="minorHAnsi"/>
          <w:bCs/>
          <w:color w:val="002060"/>
          <w:sz w:val="24"/>
          <w:szCs w:val="24"/>
        </w:rPr>
        <w:t>Not to mention, t</w:t>
      </w:r>
      <w:r w:rsidRPr="00581351">
        <w:rPr>
          <w:rFonts w:cstheme="minorHAnsi"/>
          <w:bCs/>
          <w:color w:val="002060"/>
          <w:sz w:val="24"/>
          <w:szCs w:val="24"/>
        </w:rPr>
        <w:t xml:space="preserve">here </w:t>
      </w:r>
      <w:r w:rsidR="00D137BA" w:rsidRPr="00581351">
        <w:rPr>
          <w:rFonts w:cstheme="minorHAnsi"/>
          <w:bCs/>
          <w:color w:val="002060"/>
          <w:sz w:val="24"/>
          <w:szCs w:val="24"/>
        </w:rPr>
        <w:t>have been multiple and ongoing</w:t>
      </w:r>
      <w:r w:rsidRPr="00581351">
        <w:rPr>
          <w:rFonts w:cstheme="minorHAnsi"/>
          <w:bCs/>
          <w:color w:val="002060"/>
          <w:sz w:val="24"/>
          <w:szCs w:val="24"/>
        </w:rPr>
        <w:t xml:space="preserve"> changes to all the item sets with the </w:t>
      </w:r>
      <w:r w:rsidR="00D137BA" w:rsidRPr="00581351">
        <w:rPr>
          <w:rFonts w:cstheme="minorHAnsi"/>
          <w:bCs/>
          <w:color w:val="002060"/>
          <w:sz w:val="24"/>
          <w:szCs w:val="24"/>
        </w:rPr>
        <w:t>sixth</w:t>
      </w:r>
      <w:r w:rsidRPr="00581351">
        <w:rPr>
          <w:rFonts w:cstheme="minorHAnsi"/>
          <w:bCs/>
          <w:color w:val="002060"/>
          <w:sz w:val="24"/>
          <w:szCs w:val="24"/>
        </w:rPr>
        <w:t xml:space="preserve"> version</w:t>
      </w:r>
      <w:r w:rsidR="00113B18" w:rsidRPr="00581351">
        <w:rPr>
          <w:rFonts w:cstheme="minorHAnsi"/>
          <w:bCs/>
          <w:color w:val="002060"/>
          <w:sz w:val="24"/>
          <w:szCs w:val="24"/>
        </w:rPr>
        <w:t xml:space="preserve"> of the MDS item sets</w:t>
      </w:r>
      <w:r w:rsidRPr="00581351">
        <w:rPr>
          <w:rFonts w:cstheme="minorHAnsi"/>
          <w:bCs/>
          <w:color w:val="002060"/>
          <w:sz w:val="24"/>
          <w:szCs w:val="24"/>
        </w:rPr>
        <w:t xml:space="preserve"> </w:t>
      </w:r>
      <w:r w:rsidR="00D137BA" w:rsidRPr="00581351">
        <w:rPr>
          <w:rFonts w:cstheme="minorHAnsi"/>
          <w:bCs/>
          <w:color w:val="002060"/>
          <w:sz w:val="24"/>
          <w:szCs w:val="24"/>
        </w:rPr>
        <w:t>released</w:t>
      </w:r>
      <w:r w:rsidRPr="00581351">
        <w:rPr>
          <w:rFonts w:cstheme="minorHAnsi"/>
          <w:bCs/>
          <w:color w:val="002060"/>
          <w:sz w:val="24"/>
          <w:szCs w:val="24"/>
        </w:rPr>
        <w:t xml:space="preserve"> October 20, 2023</w:t>
      </w:r>
      <w:r w:rsidR="003212DF">
        <w:rPr>
          <w:rFonts w:cstheme="minorHAnsi"/>
          <w:bCs/>
          <w:color w:val="002060"/>
          <w:sz w:val="24"/>
          <w:szCs w:val="24"/>
        </w:rPr>
        <w:t>,</w:t>
      </w:r>
      <w:r w:rsidR="008D2401">
        <w:rPr>
          <w:rFonts w:cstheme="minorHAnsi"/>
          <w:bCs/>
          <w:color w:val="002060"/>
          <w:sz w:val="24"/>
          <w:szCs w:val="24"/>
        </w:rPr>
        <w:t xml:space="preserve"> i.e.,</w:t>
      </w:r>
      <w:r w:rsidR="003212DF">
        <w:rPr>
          <w:rFonts w:cstheme="minorHAnsi"/>
          <w:bCs/>
          <w:color w:val="002060"/>
          <w:sz w:val="24"/>
          <w:szCs w:val="24"/>
        </w:rPr>
        <w:t xml:space="preserve"> 20 days after the formal implementation. </w:t>
      </w:r>
      <w:r w:rsidR="00D137BA" w:rsidRPr="00581351">
        <w:rPr>
          <w:rFonts w:cstheme="minorHAnsi"/>
          <w:bCs/>
          <w:color w:val="002060"/>
          <w:sz w:val="24"/>
          <w:szCs w:val="24"/>
        </w:rPr>
        <w:t xml:space="preserve"> The changes affect many roles beyond the MDS Coordinator </w:t>
      </w:r>
      <w:r w:rsidR="003212DF">
        <w:rPr>
          <w:rFonts w:cstheme="minorHAnsi"/>
          <w:bCs/>
          <w:color w:val="002060"/>
          <w:sz w:val="24"/>
          <w:szCs w:val="24"/>
        </w:rPr>
        <w:t xml:space="preserve">and multiple factors that require consideration by the entire organization. </w:t>
      </w:r>
    </w:p>
    <w:p w14:paraId="4B45EE10" w14:textId="77777777" w:rsidR="003212DF" w:rsidRDefault="003212DF" w:rsidP="00581351">
      <w:pPr>
        <w:spacing w:after="0" w:line="240" w:lineRule="auto"/>
        <w:rPr>
          <w:rFonts w:cstheme="minorHAnsi"/>
          <w:bCs/>
          <w:color w:val="002060"/>
          <w:sz w:val="24"/>
          <w:szCs w:val="24"/>
        </w:rPr>
      </w:pPr>
    </w:p>
    <w:p w14:paraId="12A70148" w14:textId="3074BC59" w:rsidR="003212DF" w:rsidRDefault="003212DF" w:rsidP="003212DF">
      <w:pPr>
        <w:spacing w:after="0" w:line="240" w:lineRule="auto"/>
        <w:rPr>
          <w:rFonts w:cstheme="minorHAnsi"/>
          <w:color w:val="002060"/>
          <w:sz w:val="24"/>
          <w:szCs w:val="24"/>
        </w:rPr>
      </w:pPr>
      <w:r>
        <w:rPr>
          <w:rFonts w:cstheme="minorHAnsi"/>
          <w:color w:val="002060"/>
          <w:sz w:val="24"/>
          <w:szCs w:val="24"/>
        </w:rPr>
        <w:t xml:space="preserve">This article </w:t>
      </w:r>
      <w:r w:rsidRPr="00936812">
        <w:rPr>
          <w:rFonts w:cstheme="minorHAnsi"/>
          <w:color w:val="002060"/>
          <w:sz w:val="24"/>
          <w:szCs w:val="24"/>
        </w:rPr>
        <w:t>delve</w:t>
      </w:r>
      <w:r>
        <w:rPr>
          <w:rFonts w:cstheme="minorHAnsi"/>
          <w:color w:val="002060"/>
          <w:sz w:val="24"/>
          <w:szCs w:val="24"/>
        </w:rPr>
        <w:t>s</w:t>
      </w:r>
      <w:r w:rsidRPr="00936812">
        <w:rPr>
          <w:rFonts w:cstheme="minorHAnsi"/>
          <w:color w:val="002060"/>
          <w:sz w:val="24"/>
          <w:szCs w:val="24"/>
        </w:rPr>
        <w:t xml:space="preserve"> into the</w:t>
      </w:r>
      <w:r>
        <w:rPr>
          <w:rFonts w:cstheme="minorHAnsi"/>
          <w:color w:val="002060"/>
          <w:sz w:val="24"/>
          <w:szCs w:val="24"/>
        </w:rPr>
        <w:t xml:space="preserve"> top 10 changes </w:t>
      </w:r>
      <w:r w:rsidRPr="00936812">
        <w:rPr>
          <w:rFonts w:cstheme="minorHAnsi"/>
          <w:color w:val="002060"/>
          <w:sz w:val="24"/>
          <w:szCs w:val="24"/>
        </w:rPr>
        <w:t>of the MDS for FY 2024, shedding light on what th</w:t>
      </w:r>
      <w:r>
        <w:rPr>
          <w:rFonts w:cstheme="minorHAnsi"/>
          <w:color w:val="002060"/>
          <w:sz w:val="24"/>
          <w:szCs w:val="24"/>
        </w:rPr>
        <w:t xml:space="preserve">is </w:t>
      </w:r>
      <w:r w:rsidRPr="00936812">
        <w:rPr>
          <w:rFonts w:cstheme="minorHAnsi"/>
          <w:color w:val="002060"/>
          <w:sz w:val="24"/>
          <w:szCs w:val="24"/>
        </w:rPr>
        <w:t>mean</w:t>
      </w:r>
      <w:r>
        <w:rPr>
          <w:rFonts w:cstheme="minorHAnsi"/>
          <w:color w:val="002060"/>
          <w:sz w:val="24"/>
          <w:szCs w:val="24"/>
        </w:rPr>
        <w:t>s to</w:t>
      </w:r>
      <w:r w:rsidRPr="00936812">
        <w:rPr>
          <w:rFonts w:cstheme="minorHAnsi"/>
          <w:color w:val="002060"/>
          <w:sz w:val="24"/>
          <w:szCs w:val="24"/>
        </w:rPr>
        <w:t xml:space="preserve"> skilled nursing facilities, job</w:t>
      </w:r>
      <w:r>
        <w:rPr>
          <w:rFonts w:cstheme="minorHAnsi"/>
          <w:color w:val="002060"/>
          <w:sz w:val="24"/>
          <w:szCs w:val="24"/>
        </w:rPr>
        <w:t xml:space="preserve"> roles, and necessary operational refinements.</w:t>
      </w:r>
      <w:r w:rsidRPr="00936812">
        <w:rPr>
          <w:rFonts w:cstheme="minorHAnsi"/>
          <w:color w:val="002060"/>
          <w:sz w:val="24"/>
          <w:szCs w:val="24"/>
        </w:rPr>
        <w:t xml:space="preserve"> </w:t>
      </w:r>
    </w:p>
    <w:p w14:paraId="365B844A" w14:textId="77777777" w:rsidR="00581351" w:rsidRPr="00581351" w:rsidRDefault="00581351" w:rsidP="00581351">
      <w:pPr>
        <w:spacing w:after="0" w:line="240" w:lineRule="auto"/>
        <w:rPr>
          <w:rFonts w:cstheme="minorHAnsi"/>
          <w:color w:val="002060"/>
          <w:sz w:val="24"/>
          <w:szCs w:val="24"/>
        </w:rPr>
      </w:pPr>
    </w:p>
    <w:p w14:paraId="0D973BEF" w14:textId="0EC2B168" w:rsidR="00113B18" w:rsidRPr="00581351" w:rsidRDefault="00113B18" w:rsidP="009969B2">
      <w:pPr>
        <w:pStyle w:val="ListParagraph"/>
        <w:numPr>
          <w:ilvl w:val="0"/>
          <w:numId w:val="1"/>
        </w:numPr>
        <w:spacing w:after="0" w:line="240" w:lineRule="auto"/>
        <w:ind w:left="360"/>
        <w:rPr>
          <w:rFonts w:cstheme="minorHAnsi"/>
          <w:b/>
          <w:bCs/>
          <w:color w:val="002060"/>
          <w:sz w:val="24"/>
          <w:szCs w:val="24"/>
        </w:rPr>
      </w:pPr>
      <w:r w:rsidRPr="00581351">
        <w:rPr>
          <w:rFonts w:cstheme="minorHAnsi"/>
          <w:b/>
          <w:bCs/>
          <w:color w:val="002060"/>
          <w:sz w:val="24"/>
          <w:szCs w:val="24"/>
        </w:rPr>
        <w:t xml:space="preserve">MDS </w:t>
      </w:r>
      <w:r w:rsidR="00936812">
        <w:rPr>
          <w:rFonts w:cstheme="minorHAnsi"/>
          <w:b/>
          <w:bCs/>
          <w:color w:val="002060"/>
          <w:sz w:val="24"/>
          <w:szCs w:val="24"/>
        </w:rPr>
        <w:t>I</w:t>
      </w:r>
      <w:r w:rsidRPr="00581351">
        <w:rPr>
          <w:rFonts w:cstheme="minorHAnsi"/>
          <w:b/>
          <w:bCs/>
          <w:color w:val="002060"/>
          <w:sz w:val="24"/>
          <w:szCs w:val="24"/>
        </w:rPr>
        <w:t xml:space="preserve">tem </w:t>
      </w:r>
      <w:r w:rsidR="00936812">
        <w:rPr>
          <w:rFonts w:cstheme="minorHAnsi"/>
          <w:b/>
          <w:bCs/>
          <w:color w:val="002060"/>
          <w:sz w:val="24"/>
          <w:szCs w:val="24"/>
        </w:rPr>
        <w:t>S</w:t>
      </w:r>
      <w:r w:rsidRPr="00581351">
        <w:rPr>
          <w:rFonts w:cstheme="minorHAnsi"/>
          <w:b/>
          <w:bCs/>
          <w:color w:val="002060"/>
          <w:sz w:val="24"/>
          <w:szCs w:val="24"/>
        </w:rPr>
        <w:t>ets</w:t>
      </w:r>
      <w:r w:rsidR="009D5727" w:rsidRPr="00581351">
        <w:rPr>
          <w:rFonts w:cstheme="minorHAnsi"/>
          <w:b/>
          <w:bCs/>
          <w:color w:val="002060"/>
          <w:sz w:val="24"/>
          <w:szCs w:val="24"/>
        </w:rPr>
        <w:t xml:space="preserve"> </w:t>
      </w:r>
      <w:r w:rsidR="00D33317">
        <w:rPr>
          <w:rFonts w:cstheme="minorHAnsi"/>
          <w:b/>
          <w:bCs/>
          <w:color w:val="002060"/>
          <w:sz w:val="24"/>
          <w:szCs w:val="24"/>
        </w:rPr>
        <w:t xml:space="preserve">Increased </w:t>
      </w:r>
    </w:p>
    <w:p w14:paraId="7FE3FE0A" w14:textId="77777777" w:rsidR="006B30E4" w:rsidRPr="00581351" w:rsidRDefault="006B30E4" w:rsidP="009969B2">
      <w:pPr>
        <w:pStyle w:val="ListParagraph"/>
        <w:spacing w:after="0" w:line="240" w:lineRule="auto"/>
        <w:ind w:left="360"/>
        <w:rPr>
          <w:rFonts w:cstheme="minorHAnsi"/>
          <w:color w:val="002060"/>
          <w:sz w:val="24"/>
          <w:szCs w:val="24"/>
        </w:rPr>
      </w:pPr>
    </w:p>
    <w:p w14:paraId="3CB6B199" w14:textId="6F5FD1B8" w:rsidR="00936812" w:rsidRDefault="00936812" w:rsidP="009969B2">
      <w:pPr>
        <w:pStyle w:val="ListParagraph"/>
        <w:spacing w:after="0" w:line="240" w:lineRule="auto"/>
        <w:ind w:left="360"/>
        <w:rPr>
          <w:rFonts w:cstheme="minorHAnsi"/>
          <w:color w:val="002060"/>
          <w:sz w:val="24"/>
          <w:szCs w:val="24"/>
        </w:rPr>
      </w:pPr>
      <w:r>
        <w:rPr>
          <w:rFonts w:cstheme="minorHAnsi"/>
          <w:color w:val="002060"/>
          <w:sz w:val="24"/>
          <w:szCs w:val="24"/>
        </w:rPr>
        <w:t>Given the addition of</w:t>
      </w:r>
      <w:r w:rsidR="009D5727" w:rsidRPr="00581351">
        <w:rPr>
          <w:rFonts w:cstheme="minorHAnsi"/>
          <w:color w:val="002060"/>
          <w:sz w:val="24"/>
          <w:szCs w:val="24"/>
        </w:rPr>
        <w:t xml:space="preserve"> 59.5 new items </w:t>
      </w:r>
      <w:r w:rsidR="00D33317">
        <w:rPr>
          <w:rFonts w:cstheme="minorHAnsi"/>
          <w:color w:val="002060"/>
          <w:sz w:val="24"/>
          <w:szCs w:val="24"/>
        </w:rPr>
        <w:t>rendering</w:t>
      </w:r>
      <w:r w:rsidR="009D5727" w:rsidRPr="00581351">
        <w:rPr>
          <w:rFonts w:cstheme="minorHAnsi"/>
          <w:color w:val="002060"/>
          <w:sz w:val="24"/>
          <w:szCs w:val="24"/>
        </w:rPr>
        <w:t xml:space="preserve"> the most </w:t>
      </w:r>
      <w:r w:rsidR="00D33317" w:rsidRPr="00581351">
        <w:rPr>
          <w:rFonts w:cstheme="minorHAnsi"/>
          <w:color w:val="002060"/>
          <w:sz w:val="24"/>
          <w:szCs w:val="24"/>
        </w:rPr>
        <w:t>intense</w:t>
      </w:r>
      <w:r w:rsidR="004D6F79" w:rsidRPr="00581351">
        <w:rPr>
          <w:rFonts w:cstheme="minorHAnsi"/>
          <w:color w:val="002060"/>
          <w:sz w:val="24"/>
          <w:szCs w:val="24"/>
        </w:rPr>
        <w:t xml:space="preserve"> </w:t>
      </w:r>
      <w:r w:rsidR="009D5727" w:rsidRPr="00581351">
        <w:rPr>
          <w:rFonts w:cstheme="minorHAnsi"/>
          <w:color w:val="002060"/>
          <w:sz w:val="24"/>
          <w:szCs w:val="24"/>
        </w:rPr>
        <w:t xml:space="preserve">changes </w:t>
      </w:r>
      <w:r w:rsidR="00D33317">
        <w:rPr>
          <w:rFonts w:cstheme="minorHAnsi"/>
          <w:color w:val="002060"/>
          <w:sz w:val="24"/>
          <w:szCs w:val="24"/>
        </w:rPr>
        <w:t xml:space="preserve">to the MDS </w:t>
      </w:r>
      <w:r w:rsidR="009D5727" w:rsidRPr="00581351">
        <w:rPr>
          <w:rFonts w:cstheme="minorHAnsi"/>
          <w:color w:val="002060"/>
          <w:sz w:val="24"/>
          <w:szCs w:val="24"/>
        </w:rPr>
        <w:t xml:space="preserve">in over 10 </w:t>
      </w:r>
      <w:r w:rsidR="00D33317" w:rsidRPr="00581351">
        <w:rPr>
          <w:rFonts w:cstheme="minorHAnsi"/>
          <w:color w:val="002060"/>
          <w:sz w:val="24"/>
          <w:szCs w:val="24"/>
        </w:rPr>
        <w:t>years</w:t>
      </w:r>
      <w:r w:rsidR="00D33317">
        <w:rPr>
          <w:rFonts w:cstheme="minorHAnsi"/>
          <w:color w:val="002060"/>
          <w:sz w:val="24"/>
          <w:szCs w:val="24"/>
        </w:rPr>
        <w:t xml:space="preserve">, </w:t>
      </w:r>
      <w:r w:rsidR="00D33317" w:rsidRPr="00581351">
        <w:rPr>
          <w:rFonts w:cstheme="minorHAnsi"/>
          <w:color w:val="002060"/>
          <w:sz w:val="24"/>
          <w:szCs w:val="24"/>
        </w:rPr>
        <w:t>data</w:t>
      </w:r>
      <w:r w:rsidR="00113B18" w:rsidRPr="00581351">
        <w:rPr>
          <w:rFonts w:cstheme="minorHAnsi"/>
          <w:color w:val="002060"/>
          <w:sz w:val="24"/>
          <w:szCs w:val="24"/>
        </w:rPr>
        <w:t xml:space="preserve"> collection</w:t>
      </w:r>
      <w:r w:rsidR="00934D3A" w:rsidRPr="00581351">
        <w:rPr>
          <w:rFonts w:cstheme="minorHAnsi"/>
          <w:color w:val="002060"/>
          <w:sz w:val="24"/>
          <w:szCs w:val="24"/>
        </w:rPr>
        <w:t xml:space="preserve"> </w:t>
      </w:r>
      <w:r w:rsidR="00D33317">
        <w:rPr>
          <w:rFonts w:cstheme="minorHAnsi"/>
          <w:color w:val="002060"/>
          <w:sz w:val="24"/>
          <w:szCs w:val="24"/>
        </w:rPr>
        <w:t xml:space="preserve">and MDS completion may require additional labor hours. Hence, providers need to assess hours, systems, and reallocation of resources. While simultaneously providing ongoing education to the MDS Coordinators and Interdisciplinary Team members.    </w:t>
      </w:r>
    </w:p>
    <w:p w14:paraId="4CEF9283" w14:textId="77777777" w:rsidR="006B30E4" w:rsidRPr="003212DF" w:rsidRDefault="006B30E4" w:rsidP="009969B2">
      <w:pPr>
        <w:spacing w:after="0" w:line="240" w:lineRule="auto"/>
        <w:ind w:left="-360"/>
        <w:rPr>
          <w:rFonts w:cstheme="minorHAnsi"/>
          <w:color w:val="002060"/>
          <w:sz w:val="24"/>
          <w:szCs w:val="24"/>
        </w:rPr>
      </w:pPr>
    </w:p>
    <w:p w14:paraId="0F2AFAD7" w14:textId="62D55A87" w:rsidR="00D33317" w:rsidRPr="00D33317" w:rsidRDefault="00D33317" w:rsidP="009969B2">
      <w:pPr>
        <w:pStyle w:val="ListParagraph"/>
        <w:numPr>
          <w:ilvl w:val="0"/>
          <w:numId w:val="1"/>
        </w:numPr>
        <w:spacing w:after="0" w:line="240" w:lineRule="auto"/>
        <w:ind w:left="360"/>
        <w:rPr>
          <w:rFonts w:cstheme="minorHAnsi"/>
          <w:b/>
          <w:bCs/>
          <w:color w:val="002060"/>
          <w:sz w:val="24"/>
          <w:szCs w:val="24"/>
        </w:rPr>
      </w:pPr>
      <w:r w:rsidRPr="00D33317">
        <w:rPr>
          <w:rFonts w:cstheme="minorHAnsi"/>
          <w:b/>
          <w:bCs/>
          <w:color w:val="002060"/>
          <w:sz w:val="24"/>
          <w:szCs w:val="24"/>
        </w:rPr>
        <w:t xml:space="preserve">Resident’s Voice </w:t>
      </w:r>
    </w:p>
    <w:p w14:paraId="4DD7D81D" w14:textId="77777777" w:rsidR="00D33317" w:rsidRDefault="00D33317" w:rsidP="009969B2">
      <w:pPr>
        <w:pStyle w:val="ListParagraph"/>
        <w:spacing w:after="0" w:line="240" w:lineRule="auto"/>
        <w:ind w:left="360"/>
        <w:rPr>
          <w:rFonts w:cstheme="minorHAnsi"/>
          <w:b/>
          <w:bCs/>
          <w:color w:val="002060"/>
          <w:sz w:val="24"/>
          <w:szCs w:val="24"/>
        </w:rPr>
      </w:pPr>
    </w:p>
    <w:p w14:paraId="2770409B" w14:textId="5858D87D" w:rsidR="00D33317" w:rsidRPr="00D33317" w:rsidRDefault="00D33317" w:rsidP="009969B2">
      <w:pPr>
        <w:pStyle w:val="ListParagraph"/>
        <w:spacing w:after="0" w:line="240" w:lineRule="auto"/>
        <w:ind w:left="360"/>
        <w:rPr>
          <w:rFonts w:cstheme="minorHAnsi"/>
          <w:color w:val="002060"/>
          <w:sz w:val="24"/>
          <w:szCs w:val="24"/>
        </w:rPr>
      </w:pPr>
      <w:r>
        <w:rPr>
          <w:rFonts w:cstheme="minorHAnsi"/>
          <w:color w:val="002060"/>
          <w:sz w:val="24"/>
          <w:szCs w:val="24"/>
        </w:rPr>
        <w:t>T</w:t>
      </w:r>
      <w:r w:rsidRPr="00D33317">
        <w:rPr>
          <w:rFonts w:cstheme="minorHAnsi"/>
          <w:color w:val="002060"/>
          <w:sz w:val="24"/>
          <w:szCs w:val="24"/>
        </w:rPr>
        <w:t>he MDS changes for FY 2024 are designed to create a more inclusive and resident-focused care environment. By actively involving residents in the assessment process, incorporating their perspectives, and promoting personalized care plans, these changes empower residents to have a stronger voice in shaping the care they receive in the LTC setting.</w:t>
      </w:r>
    </w:p>
    <w:p w14:paraId="63CDDDEC" w14:textId="77777777" w:rsidR="00D33317" w:rsidRDefault="00D33317" w:rsidP="009969B2">
      <w:pPr>
        <w:pStyle w:val="ListParagraph"/>
        <w:spacing w:after="0" w:line="240" w:lineRule="auto"/>
        <w:ind w:left="360"/>
        <w:rPr>
          <w:rFonts w:cstheme="minorHAnsi"/>
          <w:b/>
          <w:bCs/>
          <w:color w:val="002060"/>
          <w:sz w:val="24"/>
          <w:szCs w:val="24"/>
        </w:rPr>
      </w:pPr>
    </w:p>
    <w:p w14:paraId="79FE5181" w14:textId="77777777" w:rsidR="00D33317" w:rsidRPr="00D33317" w:rsidRDefault="00D33317" w:rsidP="009969B2">
      <w:pPr>
        <w:pStyle w:val="ListParagraph"/>
        <w:numPr>
          <w:ilvl w:val="0"/>
          <w:numId w:val="4"/>
        </w:numPr>
        <w:ind w:left="720"/>
        <w:rPr>
          <w:rFonts w:cstheme="minorHAnsi"/>
          <w:b/>
          <w:bCs/>
          <w:color w:val="002060"/>
          <w:sz w:val="24"/>
          <w:szCs w:val="24"/>
        </w:rPr>
      </w:pPr>
      <w:r w:rsidRPr="00D33317">
        <w:rPr>
          <w:rFonts w:cstheme="minorHAnsi"/>
          <w:b/>
          <w:bCs/>
          <w:color w:val="002060"/>
          <w:sz w:val="24"/>
          <w:szCs w:val="24"/>
        </w:rPr>
        <w:t>Expanded Resident Interviews and Participation:</w:t>
      </w:r>
    </w:p>
    <w:p w14:paraId="2C89A7FE" w14:textId="77777777" w:rsidR="00D33317" w:rsidRPr="00D33317" w:rsidRDefault="00D33317" w:rsidP="009969B2">
      <w:pPr>
        <w:pStyle w:val="ListParagraph"/>
        <w:numPr>
          <w:ilvl w:val="1"/>
          <w:numId w:val="4"/>
        </w:numPr>
        <w:ind w:left="1440"/>
        <w:rPr>
          <w:rFonts w:cstheme="minorHAnsi"/>
          <w:color w:val="002060"/>
          <w:sz w:val="24"/>
          <w:szCs w:val="24"/>
        </w:rPr>
      </w:pPr>
      <w:r w:rsidRPr="00D33317">
        <w:rPr>
          <w:rFonts w:cstheme="minorHAnsi"/>
          <w:color w:val="002060"/>
          <w:sz w:val="24"/>
          <w:szCs w:val="24"/>
        </w:rPr>
        <w:t>The revised MDS guidelines place a greater emphasis on resident interviews and engagement. By including residents more actively in the assessment process, the updates aim to capture their unique preferences, goals, and concerns directly from the source. This shift ensures that the care plans are not only clinically sound but also aligned with the individual needs and desires of each resident.</w:t>
      </w:r>
    </w:p>
    <w:p w14:paraId="37FE84EE" w14:textId="77777777" w:rsidR="00D33317" w:rsidRPr="00D33317" w:rsidRDefault="00D33317" w:rsidP="009969B2">
      <w:pPr>
        <w:pStyle w:val="ListParagraph"/>
        <w:numPr>
          <w:ilvl w:val="0"/>
          <w:numId w:val="4"/>
        </w:numPr>
        <w:ind w:left="720"/>
        <w:rPr>
          <w:rFonts w:cstheme="minorHAnsi"/>
          <w:b/>
          <w:bCs/>
          <w:color w:val="002060"/>
          <w:sz w:val="24"/>
          <w:szCs w:val="24"/>
        </w:rPr>
      </w:pPr>
      <w:r w:rsidRPr="00D33317">
        <w:rPr>
          <w:rFonts w:cstheme="minorHAnsi"/>
          <w:b/>
          <w:bCs/>
          <w:color w:val="002060"/>
          <w:sz w:val="24"/>
          <w:szCs w:val="24"/>
        </w:rPr>
        <w:t>Inclusion of Resident-Reported Outcomes:</w:t>
      </w:r>
    </w:p>
    <w:p w14:paraId="3A3E6724" w14:textId="77777777" w:rsidR="00D33317" w:rsidRPr="00D33317" w:rsidRDefault="00D33317" w:rsidP="009969B2">
      <w:pPr>
        <w:pStyle w:val="ListParagraph"/>
        <w:numPr>
          <w:ilvl w:val="1"/>
          <w:numId w:val="4"/>
        </w:numPr>
        <w:ind w:left="1440"/>
        <w:rPr>
          <w:rFonts w:cstheme="minorHAnsi"/>
          <w:color w:val="002060"/>
          <w:sz w:val="24"/>
          <w:szCs w:val="24"/>
        </w:rPr>
      </w:pPr>
      <w:r w:rsidRPr="00D33317">
        <w:rPr>
          <w:rFonts w:cstheme="minorHAnsi"/>
          <w:color w:val="002060"/>
          <w:sz w:val="24"/>
          <w:szCs w:val="24"/>
        </w:rPr>
        <w:t xml:space="preserve">FY 2024 MDS changes incorporate a broader range of resident-reported outcomes. This means that residents have a more prominent role in expressing their experiences and perceptions of their own health and well-being. Including </w:t>
      </w:r>
      <w:r w:rsidRPr="00D33317">
        <w:rPr>
          <w:rFonts w:cstheme="minorHAnsi"/>
          <w:color w:val="002060"/>
          <w:sz w:val="24"/>
          <w:szCs w:val="24"/>
        </w:rPr>
        <w:lastRenderedPageBreak/>
        <w:t>their perspectives in the assessment process not only enhances the accuracy of the data but also fosters a more patient-centered approach to care.</w:t>
      </w:r>
    </w:p>
    <w:p w14:paraId="0707B144" w14:textId="77777777" w:rsidR="00D33317" w:rsidRPr="00D33317" w:rsidRDefault="00D33317" w:rsidP="009969B2">
      <w:pPr>
        <w:pStyle w:val="ListParagraph"/>
        <w:numPr>
          <w:ilvl w:val="0"/>
          <w:numId w:val="4"/>
        </w:numPr>
        <w:ind w:left="720"/>
        <w:rPr>
          <w:rFonts w:cstheme="minorHAnsi"/>
          <w:b/>
          <w:bCs/>
          <w:color w:val="002060"/>
          <w:sz w:val="24"/>
          <w:szCs w:val="24"/>
        </w:rPr>
      </w:pPr>
      <w:r w:rsidRPr="00D33317">
        <w:rPr>
          <w:rFonts w:cstheme="minorHAnsi"/>
          <w:b/>
          <w:bCs/>
          <w:color w:val="002060"/>
          <w:sz w:val="24"/>
          <w:szCs w:val="24"/>
        </w:rPr>
        <w:t>Focus on Goal Setting and Personalized Care Plans:</w:t>
      </w:r>
    </w:p>
    <w:p w14:paraId="4D28215E" w14:textId="77777777" w:rsidR="00D33317" w:rsidRPr="00D33317" w:rsidRDefault="00D33317" w:rsidP="009969B2">
      <w:pPr>
        <w:pStyle w:val="ListParagraph"/>
        <w:numPr>
          <w:ilvl w:val="1"/>
          <w:numId w:val="4"/>
        </w:numPr>
        <w:ind w:left="1440"/>
        <w:rPr>
          <w:rFonts w:cstheme="minorHAnsi"/>
          <w:color w:val="002060"/>
          <w:sz w:val="24"/>
          <w:szCs w:val="24"/>
        </w:rPr>
      </w:pPr>
      <w:r w:rsidRPr="00D33317">
        <w:rPr>
          <w:rFonts w:cstheme="minorHAnsi"/>
          <w:color w:val="002060"/>
          <w:sz w:val="24"/>
          <w:szCs w:val="24"/>
        </w:rPr>
        <w:t>The MDS updates encourage a more detailed approach to goal setting based on resident input. By tailoring care plans to align with residents' individual goals and aspirations, the changes empower residents to actively participate in decisions about their care journey. This personalized approach promotes a sense of agency and autonomy among residents, reinforcing the concept of resident-directed care.</w:t>
      </w:r>
    </w:p>
    <w:p w14:paraId="1794FEAC" w14:textId="77777777" w:rsidR="00D33317" w:rsidRPr="00D33317" w:rsidRDefault="00D33317" w:rsidP="009969B2">
      <w:pPr>
        <w:pStyle w:val="ListParagraph"/>
        <w:numPr>
          <w:ilvl w:val="0"/>
          <w:numId w:val="4"/>
        </w:numPr>
        <w:ind w:left="720"/>
        <w:rPr>
          <w:rFonts w:cstheme="minorHAnsi"/>
          <w:b/>
          <w:bCs/>
          <w:color w:val="002060"/>
          <w:sz w:val="24"/>
          <w:szCs w:val="24"/>
        </w:rPr>
      </w:pPr>
      <w:r w:rsidRPr="00D33317">
        <w:rPr>
          <w:rFonts w:cstheme="minorHAnsi"/>
          <w:b/>
          <w:bCs/>
          <w:color w:val="002060"/>
          <w:sz w:val="24"/>
          <w:szCs w:val="24"/>
        </w:rPr>
        <w:t>Enhanced Communication and Collaboration:</w:t>
      </w:r>
    </w:p>
    <w:p w14:paraId="49FAD910" w14:textId="77777777" w:rsidR="00D33317" w:rsidRPr="00D33317" w:rsidRDefault="00D33317" w:rsidP="009969B2">
      <w:pPr>
        <w:pStyle w:val="ListParagraph"/>
        <w:numPr>
          <w:ilvl w:val="1"/>
          <w:numId w:val="4"/>
        </w:numPr>
        <w:ind w:left="1440"/>
        <w:rPr>
          <w:rFonts w:cstheme="minorHAnsi"/>
          <w:color w:val="002060"/>
          <w:sz w:val="24"/>
          <w:szCs w:val="24"/>
        </w:rPr>
      </w:pPr>
      <w:r w:rsidRPr="00D33317">
        <w:rPr>
          <w:rFonts w:cstheme="minorHAnsi"/>
          <w:color w:val="002060"/>
          <w:sz w:val="24"/>
          <w:szCs w:val="24"/>
        </w:rPr>
        <w:t>The revised MDS guidelines encourage improved communication between healthcare providers and residents. This includes fostering regular discussions about care preferences, treatment options, and potential changes in health status. By strengthening the communication loop, residents are better informed and have more opportunities to voice their opinions, contributing to a collaborative and transparent care environment.</w:t>
      </w:r>
    </w:p>
    <w:p w14:paraId="376606B7" w14:textId="14E9DE44" w:rsidR="00D33317" w:rsidRPr="00D33317" w:rsidRDefault="00D33317" w:rsidP="009969B2">
      <w:pPr>
        <w:pStyle w:val="ListParagraph"/>
        <w:numPr>
          <w:ilvl w:val="0"/>
          <w:numId w:val="4"/>
        </w:numPr>
        <w:ind w:left="720"/>
        <w:rPr>
          <w:rFonts w:cstheme="minorHAnsi"/>
          <w:b/>
          <w:bCs/>
          <w:color w:val="002060"/>
          <w:sz w:val="24"/>
          <w:szCs w:val="24"/>
        </w:rPr>
      </w:pPr>
      <w:r w:rsidRPr="00D33317">
        <w:rPr>
          <w:rFonts w:cstheme="minorHAnsi"/>
          <w:b/>
          <w:bCs/>
          <w:color w:val="002060"/>
          <w:sz w:val="24"/>
          <w:szCs w:val="24"/>
        </w:rPr>
        <w:t>Incorporation of Quality-of-Life Indicators:</w:t>
      </w:r>
    </w:p>
    <w:p w14:paraId="353ACBC2" w14:textId="574EABEB" w:rsidR="00D33317" w:rsidRPr="009969B2" w:rsidRDefault="00D33317" w:rsidP="009969B2">
      <w:pPr>
        <w:pStyle w:val="ListParagraph"/>
        <w:numPr>
          <w:ilvl w:val="1"/>
          <w:numId w:val="4"/>
        </w:numPr>
        <w:ind w:left="1440"/>
        <w:rPr>
          <w:rFonts w:cstheme="minorHAnsi"/>
          <w:color w:val="002060"/>
          <w:sz w:val="24"/>
          <w:szCs w:val="24"/>
        </w:rPr>
      </w:pPr>
      <w:r w:rsidRPr="00D33317">
        <w:rPr>
          <w:rFonts w:cstheme="minorHAnsi"/>
          <w:color w:val="002060"/>
          <w:sz w:val="24"/>
          <w:szCs w:val="24"/>
        </w:rPr>
        <w:t>FY 2024 MDS changes introduce new quality of life indicators, reflecting a holistic approach to resident well-being. These indicators encompass social, emotional, and cultural aspects of life, allowing residents to express their values and priorities beyond just clinical health. This comprehensive view enables care providers to tailor services that not only address medical needs but also enrich the overall quality of life for residents</w:t>
      </w:r>
    </w:p>
    <w:p w14:paraId="1277AF00" w14:textId="77777777" w:rsidR="00A91F7F" w:rsidRPr="008D2401" w:rsidRDefault="00A91F7F" w:rsidP="009969B2">
      <w:pPr>
        <w:spacing w:after="0" w:line="240" w:lineRule="auto"/>
        <w:ind w:left="-360"/>
        <w:rPr>
          <w:rFonts w:cstheme="minorHAnsi"/>
          <w:color w:val="002060"/>
          <w:sz w:val="24"/>
          <w:szCs w:val="24"/>
        </w:rPr>
      </w:pPr>
    </w:p>
    <w:p w14:paraId="271BC26E" w14:textId="03BE9CB2" w:rsidR="00113B18" w:rsidRPr="00581351" w:rsidRDefault="00113B18" w:rsidP="009969B2">
      <w:pPr>
        <w:pStyle w:val="ListParagraph"/>
        <w:numPr>
          <w:ilvl w:val="0"/>
          <w:numId w:val="1"/>
        </w:numPr>
        <w:spacing w:after="0" w:line="240" w:lineRule="auto"/>
        <w:ind w:left="360"/>
        <w:rPr>
          <w:rFonts w:cstheme="minorHAnsi"/>
          <w:b/>
          <w:bCs/>
          <w:color w:val="002060"/>
          <w:sz w:val="24"/>
          <w:szCs w:val="24"/>
        </w:rPr>
      </w:pPr>
      <w:r w:rsidRPr="00581351">
        <w:rPr>
          <w:rFonts w:cstheme="minorHAnsi"/>
          <w:b/>
          <w:bCs/>
          <w:color w:val="002060"/>
          <w:sz w:val="24"/>
          <w:szCs w:val="24"/>
        </w:rPr>
        <w:t>Triple Check</w:t>
      </w:r>
      <w:r w:rsidR="005D4EFE">
        <w:rPr>
          <w:rFonts w:cstheme="minorHAnsi"/>
          <w:b/>
          <w:bCs/>
          <w:color w:val="002060"/>
          <w:sz w:val="24"/>
          <w:szCs w:val="24"/>
        </w:rPr>
        <w:t xml:space="preserve"> Process</w:t>
      </w:r>
    </w:p>
    <w:p w14:paraId="00094EE4" w14:textId="77777777" w:rsidR="00A91F7F" w:rsidRPr="00581351" w:rsidRDefault="00A91F7F" w:rsidP="009969B2">
      <w:pPr>
        <w:pStyle w:val="ListParagraph"/>
        <w:spacing w:after="0" w:line="240" w:lineRule="auto"/>
        <w:ind w:left="360"/>
        <w:rPr>
          <w:rFonts w:cstheme="minorHAnsi"/>
          <w:color w:val="002060"/>
          <w:sz w:val="24"/>
          <w:szCs w:val="24"/>
        </w:rPr>
      </w:pPr>
    </w:p>
    <w:p w14:paraId="1DBE1378" w14:textId="7DEA778E" w:rsidR="001D0B58" w:rsidRPr="00581351" w:rsidRDefault="003212DF" w:rsidP="009969B2">
      <w:pPr>
        <w:pStyle w:val="ListParagraph"/>
        <w:spacing w:after="0" w:line="240" w:lineRule="auto"/>
        <w:ind w:left="360"/>
        <w:rPr>
          <w:rFonts w:cstheme="minorHAnsi"/>
          <w:color w:val="002060"/>
          <w:sz w:val="24"/>
          <w:szCs w:val="24"/>
        </w:rPr>
      </w:pPr>
      <w:r>
        <w:rPr>
          <w:rFonts w:cstheme="minorHAnsi"/>
          <w:color w:val="002060"/>
          <w:sz w:val="24"/>
          <w:szCs w:val="24"/>
        </w:rPr>
        <w:t>Monthly</w:t>
      </w:r>
      <w:r w:rsidR="006B30E4" w:rsidRPr="00581351">
        <w:rPr>
          <w:rFonts w:cstheme="minorHAnsi"/>
          <w:color w:val="002060"/>
          <w:sz w:val="24"/>
          <w:szCs w:val="24"/>
        </w:rPr>
        <w:t xml:space="preserve"> Triple</w:t>
      </w:r>
      <w:r w:rsidR="00A91F7F" w:rsidRPr="00581351">
        <w:rPr>
          <w:rFonts w:cstheme="minorHAnsi"/>
          <w:color w:val="002060"/>
          <w:sz w:val="24"/>
          <w:szCs w:val="24"/>
        </w:rPr>
        <w:t xml:space="preserve"> Check meetings are particularly important with the MDS changes including those in the errata documents.  The October 20, </w:t>
      </w:r>
      <w:r w:rsidR="00936812" w:rsidRPr="00581351">
        <w:rPr>
          <w:rFonts w:cstheme="minorHAnsi"/>
          <w:color w:val="002060"/>
          <w:sz w:val="24"/>
          <w:szCs w:val="24"/>
        </w:rPr>
        <w:t>2023,</w:t>
      </w:r>
      <w:r w:rsidR="00A91F7F" w:rsidRPr="00581351">
        <w:rPr>
          <w:rFonts w:cstheme="minorHAnsi"/>
          <w:color w:val="002060"/>
          <w:sz w:val="24"/>
          <w:szCs w:val="24"/>
        </w:rPr>
        <w:t xml:space="preserve"> MDS Manual Errata (v2) document </w:t>
      </w:r>
      <w:r w:rsidR="0039475C" w:rsidRPr="00581351">
        <w:rPr>
          <w:rFonts w:cstheme="minorHAnsi"/>
          <w:color w:val="002060"/>
          <w:sz w:val="24"/>
          <w:szCs w:val="24"/>
        </w:rPr>
        <w:t xml:space="preserve">is 54 pages and has 21 changes </w:t>
      </w:r>
      <w:r w:rsidR="00545806" w:rsidRPr="00581351">
        <w:rPr>
          <w:rFonts w:cstheme="minorHAnsi"/>
          <w:color w:val="002060"/>
          <w:sz w:val="24"/>
          <w:szCs w:val="24"/>
        </w:rPr>
        <w:t>applicable</w:t>
      </w:r>
      <w:r w:rsidR="0039475C" w:rsidRPr="00581351">
        <w:rPr>
          <w:rFonts w:cstheme="minorHAnsi"/>
          <w:color w:val="002060"/>
          <w:sz w:val="24"/>
          <w:szCs w:val="24"/>
        </w:rPr>
        <w:t xml:space="preserve"> </w:t>
      </w:r>
      <w:r w:rsidR="00545806" w:rsidRPr="00581351">
        <w:rPr>
          <w:rFonts w:cstheme="minorHAnsi"/>
          <w:color w:val="002060"/>
          <w:sz w:val="24"/>
          <w:szCs w:val="24"/>
        </w:rPr>
        <w:t>starting</w:t>
      </w:r>
      <w:r w:rsidR="0039475C" w:rsidRPr="00581351">
        <w:rPr>
          <w:rFonts w:cstheme="minorHAnsi"/>
          <w:color w:val="002060"/>
          <w:sz w:val="24"/>
          <w:szCs w:val="24"/>
        </w:rPr>
        <w:t xml:space="preserve"> October 1, 2023.  </w:t>
      </w:r>
    </w:p>
    <w:p w14:paraId="602D5252" w14:textId="77777777" w:rsidR="001D0B58" w:rsidRPr="00581351" w:rsidRDefault="001D0B58" w:rsidP="009969B2">
      <w:pPr>
        <w:pStyle w:val="ListParagraph"/>
        <w:spacing w:after="0" w:line="240" w:lineRule="auto"/>
        <w:ind w:left="360"/>
        <w:rPr>
          <w:rFonts w:cstheme="minorHAnsi"/>
          <w:color w:val="002060"/>
          <w:sz w:val="24"/>
          <w:szCs w:val="24"/>
        </w:rPr>
      </w:pPr>
    </w:p>
    <w:p w14:paraId="5FE827F2" w14:textId="2A475AB8" w:rsidR="005D4EFE" w:rsidRDefault="0039475C" w:rsidP="009969B2">
      <w:pPr>
        <w:pStyle w:val="ListParagraph"/>
        <w:spacing w:after="0" w:line="240" w:lineRule="auto"/>
        <w:ind w:left="360"/>
        <w:rPr>
          <w:rFonts w:cstheme="minorHAnsi"/>
          <w:color w:val="002060"/>
          <w:sz w:val="24"/>
          <w:szCs w:val="24"/>
        </w:rPr>
      </w:pPr>
      <w:r w:rsidRPr="00581351">
        <w:rPr>
          <w:rFonts w:cstheme="minorHAnsi"/>
          <w:color w:val="002060"/>
          <w:sz w:val="24"/>
          <w:szCs w:val="24"/>
        </w:rPr>
        <w:t>The</w:t>
      </w:r>
      <w:r w:rsidR="00372844" w:rsidRPr="00581351">
        <w:rPr>
          <w:rFonts w:cstheme="minorHAnsi"/>
          <w:color w:val="002060"/>
          <w:sz w:val="24"/>
          <w:szCs w:val="24"/>
        </w:rPr>
        <w:t xml:space="preserve"> MDS updates</w:t>
      </w:r>
      <w:r w:rsidRPr="00581351">
        <w:rPr>
          <w:rFonts w:cstheme="minorHAnsi"/>
          <w:color w:val="002060"/>
          <w:sz w:val="24"/>
          <w:szCs w:val="24"/>
        </w:rPr>
        <w:t xml:space="preserve"> and numerous software glitches have caused </w:t>
      </w:r>
      <w:r w:rsidR="00545806" w:rsidRPr="00581351">
        <w:rPr>
          <w:rFonts w:cstheme="minorHAnsi"/>
          <w:color w:val="002060"/>
          <w:sz w:val="24"/>
          <w:szCs w:val="24"/>
        </w:rPr>
        <w:t>multiple</w:t>
      </w:r>
      <w:r w:rsidRPr="00581351">
        <w:rPr>
          <w:rFonts w:cstheme="minorHAnsi"/>
          <w:color w:val="002060"/>
          <w:sz w:val="24"/>
          <w:szCs w:val="24"/>
        </w:rPr>
        <w:t xml:space="preserve"> issues with submitting accurate claims.  </w:t>
      </w:r>
      <w:r w:rsidR="00372844" w:rsidRPr="00581351">
        <w:rPr>
          <w:rFonts w:cstheme="minorHAnsi"/>
          <w:color w:val="002060"/>
          <w:sz w:val="24"/>
          <w:szCs w:val="24"/>
        </w:rPr>
        <w:t>Changes with items in MDS Sections such as</w:t>
      </w:r>
      <w:r w:rsidR="00EC5DD9">
        <w:rPr>
          <w:rFonts w:cstheme="minorHAnsi"/>
          <w:color w:val="002060"/>
          <w:sz w:val="24"/>
          <w:szCs w:val="24"/>
        </w:rPr>
        <w:t>:</w:t>
      </w:r>
    </w:p>
    <w:p w14:paraId="121E9D41" w14:textId="77777777" w:rsidR="005D4EFE" w:rsidRDefault="005D4EFE" w:rsidP="009969B2">
      <w:pPr>
        <w:pStyle w:val="ListParagraph"/>
        <w:spacing w:after="0" w:line="240" w:lineRule="auto"/>
        <w:ind w:left="360"/>
        <w:rPr>
          <w:rFonts w:cstheme="minorHAnsi"/>
          <w:color w:val="002060"/>
          <w:sz w:val="24"/>
          <w:szCs w:val="24"/>
        </w:rPr>
      </w:pPr>
    </w:p>
    <w:p w14:paraId="0AAE1EF4" w14:textId="1B4850F9" w:rsidR="005D4EFE" w:rsidRDefault="00372844" w:rsidP="005D4EFE">
      <w:pPr>
        <w:pStyle w:val="ListParagraph"/>
        <w:numPr>
          <w:ilvl w:val="0"/>
          <w:numId w:val="9"/>
        </w:numPr>
        <w:spacing w:after="0" w:line="240" w:lineRule="auto"/>
        <w:rPr>
          <w:rFonts w:cstheme="minorHAnsi"/>
          <w:color w:val="002060"/>
          <w:sz w:val="24"/>
          <w:szCs w:val="24"/>
        </w:rPr>
      </w:pPr>
      <w:r w:rsidRPr="00581351">
        <w:rPr>
          <w:rFonts w:cstheme="minorHAnsi"/>
          <w:color w:val="002060"/>
          <w:sz w:val="24"/>
          <w:szCs w:val="24"/>
        </w:rPr>
        <w:t>Section D</w:t>
      </w:r>
      <w:r w:rsidR="005D4EFE">
        <w:rPr>
          <w:rFonts w:cstheme="minorHAnsi"/>
          <w:color w:val="002060"/>
          <w:sz w:val="24"/>
          <w:szCs w:val="24"/>
        </w:rPr>
        <w:t xml:space="preserve"> Resident Mood,</w:t>
      </w:r>
    </w:p>
    <w:p w14:paraId="1F2F3873" w14:textId="2498361B" w:rsidR="005D4EFE" w:rsidRPr="005D4EFE" w:rsidRDefault="005D4EFE" w:rsidP="005D4EFE">
      <w:pPr>
        <w:pStyle w:val="ListParagraph"/>
        <w:numPr>
          <w:ilvl w:val="0"/>
          <w:numId w:val="9"/>
        </w:numPr>
        <w:spacing w:after="0" w:line="240" w:lineRule="auto"/>
        <w:rPr>
          <w:rFonts w:cstheme="minorHAnsi"/>
          <w:color w:val="002060"/>
          <w:sz w:val="24"/>
          <w:szCs w:val="24"/>
        </w:rPr>
      </w:pPr>
      <w:r w:rsidRPr="005D4EFE">
        <w:rPr>
          <w:rFonts w:cstheme="minorHAnsi"/>
          <w:color w:val="002060"/>
          <w:sz w:val="24"/>
          <w:szCs w:val="24"/>
        </w:rPr>
        <w:t>Section K Swallowing/Nutritional Status</w:t>
      </w:r>
      <w:r>
        <w:rPr>
          <w:rFonts w:cstheme="minorHAnsi"/>
          <w:color w:val="002060"/>
          <w:sz w:val="24"/>
          <w:szCs w:val="24"/>
        </w:rPr>
        <w:t xml:space="preserve">, </w:t>
      </w:r>
      <w:r w:rsidR="00372844" w:rsidRPr="005D4EFE">
        <w:rPr>
          <w:rFonts w:cstheme="minorHAnsi"/>
          <w:color w:val="002060"/>
          <w:sz w:val="24"/>
          <w:szCs w:val="24"/>
        </w:rPr>
        <w:t xml:space="preserve">and </w:t>
      </w:r>
    </w:p>
    <w:p w14:paraId="340EDDEA" w14:textId="77777777" w:rsidR="005D4EFE" w:rsidRDefault="005D4EFE" w:rsidP="005D4EFE">
      <w:pPr>
        <w:pStyle w:val="ListParagraph"/>
        <w:numPr>
          <w:ilvl w:val="0"/>
          <w:numId w:val="9"/>
        </w:numPr>
        <w:spacing w:after="0" w:line="240" w:lineRule="auto"/>
        <w:rPr>
          <w:rFonts w:cstheme="minorHAnsi"/>
          <w:color w:val="002060"/>
          <w:sz w:val="24"/>
          <w:szCs w:val="24"/>
        </w:rPr>
      </w:pPr>
      <w:r w:rsidRPr="005D4EFE">
        <w:rPr>
          <w:rFonts w:cstheme="minorHAnsi"/>
          <w:color w:val="002060"/>
          <w:sz w:val="24"/>
          <w:szCs w:val="24"/>
        </w:rPr>
        <w:t>Section O - Special Treatments, Procedures, and Programs</w:t>
      </w:r>
    </w:p>
    <w:p w14:paraId="7AAFBB46" w14:textId="77777777" w:rsidR="00EC5DD9" w:rsidRDefault="00EC5DD9" w:rsidP="00EC5DD9">
      <w:pPr>
        <w:pStyle w:val="ListParagraph"/>
        <w:spacing w:after="0" w:line="240" w:lineRule="auto"/>
        <w:ind w:left="1080"/>
        <w:rPr>
          <w:rFonts w:cstheme="minorHAnsi"/>
          <w:color w:val="002060"/>
          <w:sz w:val="24"/>
          <w:szCs w:val="24"/>
        </w:rPr>
      </w:pPr>
    </w:p>
    <w:p w14:paraId="7B95F121" w14:textId="39641C9F" w:rsidR="001036ED" w:rsidRPr="00581351" w:rsidRDefault="009969B2" w:rsidP="009969B2">
      <w:pPr>
        <w:pStyle w:val="ListParagraph"/>
        <w:spacing w:after="0" w:line="240" w:lineRule="auto"/>
        <w:ind w:left="360"/>
        <w:rPr>
          <w:rFonts w:cstheme="minorHAnsi"/>
          <w:color w:val="002060"/>
          <w:sz w:val="24"/>
          <w:szCs w:val="24"/>
        </w:rPr>
      </w:pPr>
      <w:r>
        <w:rPr>
          <w:rFonts w:cstheme="minorHAnsi"/>
          <w:color w:val="002060"/>
          <w:sz w:val="24"/>
          <w:szCs w:val="24"/>
        </w:rPr>
        <w:t>require</w:t>
      </w:r>
      <w:r w:rsidR="00372844" w:rsidRPr="00581351">
        <w:rPr>
          <w:rFonts w:cstheme="minorHAnsi"/>
          <w:color w:val="002060"/>
          <w:sz w:val="24"/>
          <w:szCs w:val="24"/>
        </w:rPr>
        <w:t xml:space="preserve"> close attention or reimbursement </w:t>
      </w:r>
      <w:r>
        <w:rPr>
          <w:rFonts w:cstheme="minorHAnsi"/>
          <w:color w:val="002060"/>
          <w:sz w:val="24"/>
          <w:szCs w:val="24"/>
        </w:rPr>
        <w:t>opportunities may be</w:t>
      </w:r>
      <w:r w:rsidR="00372844" w:rsidRPr="00581351">
        <w:rPr>
          <w:rFonts w:cstheme="minorHAnsi"/>
          <w:color w:val="002060"/>
          <w:sz w:val="24"/>
          <w:szCs w:val="24"/>
        </w:rPr>
        <w:t xml:space="preserve"> missed.</w:t>
      </w:r>
    </w:p>
    <w:p w14:paraId="24B671ED" w14:textId="77777777" w:rsidR="001036ED" w:rsidRPr="00581351" w:rsidRDefault="001036ED" w:rsidP="009969B2">
      <w:pPr>
        <w:pStyle w:val="ListParagraph"/>
        <w:spacing w:after="0" w:line="240" w:lineRule="auto"/>
        <w:ind w:left="360"/>
        <w:rPr>
          <w:rFonts w:cstheme="minorHAnsi"/>
          <w:color w:val="002060"/>
          <w:sz w:val="24"/>
          <w:szCs w:val="24"/>
        </w:rPr>
      </w:pPr>
    </w:p>
    <w:p w14:paraId="457B3091" w14:textId="66472A3C" w:rsidR="001036ED" w:rsidRPr="00581351" w:rsidRDefault="0039475C" w:rsidP="009969B2">
      <w:pPr>
        <w:pStyle w:val="ListParagraph"/>
        <w:spacing w:after="0" w:line="240" w:lineRule="auto"/>
        <w:ind w:left="360"/>
        <w:rPr>
          <w:rFonts w:cstheme="minorHAnsi"/>
          <w:color w:val="002060"/>
          <w:sz w:val="24"/>
          <w:szCs w:val="24"/>
        </w:rPr>
      </w:pPr>
      <w:r w:rsidRPr="00581351">
        <w:rPr>
          <w:rFonts w:cstheme="minorHAnsi"/>
          <w:color w:val="002060"/>
          <w:sz w:val="24"/>
          <w:szCs w:val="24"/>
        </w:rPr>
        <w:t xml:space="preserve">A separate Triple Check meeting for Medicaid claims is recommended given the complexity of many </w:t>
      </w:r>
      <w:r w:rsidR="001036ED" w:rsidRPr="00581351">
        <w:rPr>
          <w:rFonts w:cstheme="minorHAnsi"/>
          <w:color w:val="002060"/>
          <w:sz w:val="24"/>
          <w:szCs w:val="24"/>
        </w:rPr>
        <w:t xml:space="preserve">MDS and </w:t>
      </w:r>
      <w:r w:rsidRPr="00581351">
        <w:rPr>
          <w:rFonts w:cstheme="minorHAnsi"/>
          <w:color w:val="002060"/>
          <w:sz w:val="24"/>
          <w:szCs w:val="24"/>
        </w:rPr>
        <w:t xml:space="preserve">billing changes </w:t>
      </w:r>
      <w:r w:rsidR="001036ED" w:rsidRPr="00581351">
        <w:rPr>
          <w:rFonts w:cstheme="minorHAnsi"/>
          <w:color w:val="002060"/>
          <w:sz w:val="24"/>
          <w:szCs w:val="24"/>
        </w:rPr>
        <w:t>related to using</w:t>
      </w:r>
      <w:r w:rsidRPr="00581351">
        <w:rPr>
          <w:rFonts w:cstheme="minorHAnsi"/>
          <w:color w:val="002060"/>
          <w:sz w:val="24"/>
          <w:szCs w:val="24"/>
        </w:rPr>
        <w:t xml:space="preserve"> </w:t>
      </w:r>
      <w:r w:rsidR="001765F6" w:rsidRPr="00581351">
        <w:rPr>
          <w:rFonts w:cstheme="minorHAnsi"/>
          <w:color w:val="002060"/>
          <w:sz w:val="24"/>
          <w:szCs w:val="24"/>
        </w:rPr>
        <w:t xml:space="preserve">the </w:t>
      </w:r>
      <w:r w:rsidRPr="00581351">
        <w:rPr>
          <w:rFonts w:cstheme="minorHAnsi"/>
          <w:color w:val="002060"/>
          <w:sz w:val="24"/>
          <w:szCs w:val="24"/>
        </w:rPr>
        <w:t>PDPM</w:t>
      </w:r>
      <w:r w:rsidR="001036ED" w:rsidRPr="00581351">
        <w:rPr>
          <w:rFonts w:cstheme="minorHAnsi"/>
          <w:color w:val="002060"/>
          <w:sz w:val="24"/>
          <w:szCs w:val="24"/>
        </w:rPr>
        <w:t xml:space="preserve"> </w:t>
      </w:r>
      <w:r w:rsidR="001765F6" w:rsidRPr="00581351">
        <w:rPr>
          <w:rFonts w:cstheme="minorHAnsi"/>
          <w:color w:val="002060"/>
          <w:sz w:val="24"/>
          <w:szCs w:val="24"/>
        </w:rPr>
        <w:t xml:space="preserve">Nursing Case Mix Group.  A </w:t>
      </w:r>
      <w:r w:rsidR="001765F6" w:rsidRPr="00581351">
        <w:rPr>
          <w:rFonts w:cstheme="minorHAnsi"/>
          <w:color w:val="002060"/>
          <w:sz w:val="24"/>
          <w:szCs w:val="24"/>
        </w:rPr>
        <w:lastRenderedPageBreak/>
        <w:t>distinct, detailed</w:t>
      </w:r>
      <w:r w:rsidR="009969B2">
        <w:rPr>
          <w:rFonts w:cstheme="minorHAnsi"/>
          <w:color w:val="002060"/>
          <w:sz w:val="24"/>
          <w:szCs w:val="24"/>
        </w:rPr>
        <w:t xml:space="preserve">, and comprehensive review </w:t>
      </w:r>
      <w:r w:rsidR="001765F6" w:rsidRPr="00581351">
        <w:rPr>
          <w:rFonts w:cstheme="minorHAnsi"/>
          <w:color w:val="002060"/>
          <w:sz w:val="24"/>
          <w:szCs w:val="24"/>
        </w:rPr>
        <w:t xml:space="preserve">of </w:t>
      </w:r>
      <w:r w:rsidR="009969B2">
        <w:rPr>
          <w:rFonts w:cstheme="minorHAnsi"/>
          <w:color w:val="002060"/>
          <w:sz w:val="24"/>
          <w:szCs w:val="24"/>
        </w:rPr>
        <w:t xml:space="preserve">the </w:t>
      </w:r>
      <w:r w:rsidR="001765F6" w:rsidRPr="00581351">
        <w:rPr>
          <w:rFonts w:cstheme="minorHAnsi"/>
          <w:color w:val="002060"/>
          <w:sz w:val="24"/>
          <w:szCs w:val="24"/>
        </w:rPr>
        <w:t>Medicaid claims for states that use the</w:t>
      </w:r>
      <w:r w:rsidR="00350444" w:rsidRPr="00581351">
        <w:rPr>
          <w:rFonts w:cstheme="minorHAnsi"/>
          <w:color w:val="002060"/>
          <w:sz w:val="24"/>
          <w:szCs w:val="24"/>
        </w:rPr>
        <w:t xml:space="preserve"> </w:t>
      </w:r>
      <w:r w:rsidR="001765F6" w:rsidRPr="00581351">
        <w:rPr>
          <w:rFonts w:cstheme="minorHAnsi"/>
          <w:color w:val="002060"/>
          <w:sz w:val="24"/>
          <w:szCs w:val="24"/>
        </w:rPr>
        <w:t>additional</w:t>
      </w:r>
      <w:r w:rsidRPr="00581351">
        <w:rPr>
          <w:rFonts w:cstheme="minorHAnsi"/>
          <w:color w:val="002060"/>
          <w:sz w:val="24"/>
          <w:szCs w:val="24"/>
        </w:rPr>
        <w:t xml:space="preserve"> OSA</w:t>
      </w:r>
      <w:r w:rsidR="001036ED" w:rsidRPr="00581351">
        <w:rPr>
          <w:rFonts w:cstheme="minorHAnsi"/>
          <w:color w:val="002060"/>
          <w:sz w:val="24"/>
          <w:szCs w:val="24"/>
        </w:rPr>
        <w:t xml:space="preserve"> for reimbursement</w:t>
      </w:r>
      <w:r w:rsidR="001765F6" w:rsidRPr="00581351">
        <w:rPr>
          <w:rFonts w:cstheme="minorHAnsi"/>
          <w:color w:val="002060"/>
          <w:sz w:val="24"/>
          <w:szCs w:val="24"/>
        </w:rPr>
        <w:t xml:space="preserve"> </w:t>
      </w:r>
      <w:r w:rsidR="006C638F" w:rsidRPr="00581351">
        <w:rPr>
          <w:rFonts w:cstheme="minorHAnsi"/>
          <w:color w:val="002060"/>
          <w:sz w:val="24"/>
          <w:szCs w:val="24"/>
        </w:rPr>
        <w:t>should also be held</w:t>
      </w:r>
      <w:r w:rsidR="001214AF" w:rsidRPr="00581351">
        <w:rPr>
          <w:rFonts w:cstheme="minorHAnsi"/>
          <w:color w:val="002060"/>
          <w:sz w:val="24"/>
          <w:szCs w:val="24"/>
        </w:rPr>
        <w:t xml:space="preserve"> given the inverted </w:t>
      </w:r>
      <w:r w:rsidR="00EA038E" w:rsidRPr="00581351">
        <w:rPr>
          <w:rFonts w:cstheme="minorHAnsi"/>
          <w:color w:val="002060"/>
          <w:sz w:val="24"/>
          <w:szCs w:val="24"/>
        </w:rPr>
        <w:t>scales used, the “Rule of 3” versus using usual performance, and the learning curve for new definitions of multiple items</w:t>
      </w:r>
      <w:r w:rsidR="001036ED" w:rsidRPr="00581351">
        <w:rPr>
          <w:rFonts w:cstheme="minorHAnsi"/>
          <w:color w:val="002060"/>
          <w:sz w:val="24"/>
          <w:szCs w:val="24"/>
        </w:rPr>
        <w:t>.</w:t>
      </w:r>
    </w:p>
    <w:p w14:paraId="1E4C2B5E" w14:textId="05D4E809" w:rsidR="006B30E4" w:rsidRPr="00581351" w:rsidRDefault="006B30E4" w:rsidP="009969B2">
      <w:pPr>
        <w:pStyle w:val="ListParagraph"/>
        <w:spacing w:after="0" w:line="240" w:lineRule="auto"/>
        <w:ind w:left="360"/>
        <w:rPr>
          <w:rFonts w:cstheme="minorHAnsi"/>
          <w:color w:val="002060"/>
          <w:sz w:val="24"/>
          <w:szCs w:val="24"/>
        </w:rPr>
      </w:pPr>
    </w:p>
    <w:p w14:paraId="77BB3B2D" w14:textId="561758E1" w:rsidR="0039581A" w:rsidRPr="00581351" w:rsidRDefault="001036ED" w:rsidP="009969B2">
      <w:pPr>
        <w:pStyle w:val="ListParagraph"/>
        <w:numPr>
          <w:ilvl w:val="0"/>
          <w:numId w:val="1"/>
        </w:numPr>
        <w:spacing w:after="0" w:line="240" w:lineRule="auto"/>
        <w:ind w:left="360"/>
        <w:rPr>
          <w:rFonts w:cstheme="minorHAnsi"/>
          <w:b/>
          <w:bCs/>
          <w:color w:val="002060"/>
          <w:sz w:val="24"/>
          <w:szCs w:val="24"/>
        </w:rPr>
      </w:pPr>
      <w:r w:rsidRPr="00581351">
        <w:rPr>
          <w:rFonts w:cstheme="minorHAnsi"/>
          <w:b/>
          <w:bCs/>
          <w:color w:val="002060"/>
          <w:sz w:val="24"/>
          <w:szCs w:val="24"/>
        </w:rPr>
        <w:t>Social Determinants of Health (</w:t>
      </w:r>
      <w:r w:rsidR="0039581A" w:rsidRPr="00581351">
        <w:rPr>
          <w:rFonts w:cstheme="minorHAnsi"/>
          <w:b/>
          <w:bCs/>
          <w:color w:val="002060"/>
          <w:sz w:val="24"/>
          <w:szCs w:val="24"/>
        </w:rPr>
        <w:t>SDOH</w:t>
      </w:r>
      <w:r w:rsidRPr="00581351">
        <w:rPr>
          <w:rFonts w:cstheme="minorHAnsi"/>
          <w:b/>
          <w:bCs/>
          <w:color w:val="002060"/>
          <w:sz w:val="24"/>
          <w:szCs w:val="24"/>
        </w:rPr>
        <w:t>)</w:t>
      </w:r>
    </w:p>
    <w:p w14:paraId="136A090A" w14:textId="77777777" w:rsidR="001205E3" w:rsidRPr="00581351" w:rsidRDefault="001205E3" w:rsidP="009969B2">
      <w:pPr>
        <w:pStyle w:val="ListParagraph"/>
        <w:spacing w:after="0" w:line="240" w:lineRule="auto"/>
        <w:ind w:left="360"/>
        <w:rPr>
          <w:rFonts w:cstheme="minorHAnsi"/>
          <w:color w:val="002060"/>
          <w:sz w:val="24"/>
          <w:szCs w:val="24"/>
        </w:rPr>
      </w:pPr>
    </w:p>
    <w:p w14:paraId="2CFCFF68" w14:textId="77777777" w:rsidR="00D43722" w:rsidRDefault="00D43722" w:rsidP="009969B2">
      <w:pPr>
        <w:pStyle w:val="ListParagraph"/>
        <w:spacing w:after="0"/>
        <w:ind w:left="360"/>
        <w:rPr>
          <w:rFonts w:cstheme="minorHAnsi"/>
          <w:color w:val="002060"/>
          <w:sz w:val="24"/>
          <w:szCs w:val="24"/>
        </w:rPr>
      </w:pPr>
      <w:r w:rsidRPr="00D43722">
        <w:rPr>
          <w:rFonts w:cstheme="minorHAnsi"/>
          <w:color w:val="002060"/>
          <w:sz w:val="24"/>
          <w:szCs w:val="24"/>
        </w:rPr>
        <w:t>Social determinants of health (SDOH) play a crucial role in influencing an individual's overall well-being, and their impact is increasingly recognized in the healthcare landscape. The Minimum Data Set (MDS) in the Long-Term Care (LTC) industry serves as a comprehensive assessment tool, and its integration with an understanding of social determinants can significantly enhance the quality of care provided. Here's how social determinants of health relate to MDS in the LTC setting:</w:t>
      </w:r>
    </w:p>
    <w:p w14:paraId="39E3E913" w14:textId="77777777" w:rsidR="00D43722" w:rsidRPr="00D43722" w:rsidRDefault="00D43722" w:rsidP="009969B2">
      <w:pPr>
        <w:pStyle w:val="ListParagraph"/>
        <w:spacing w:after="0"/>
        <w:ind w:left="360"/>
        <w:rPr>
          <w:rFonts w:cstheme="minorHAnsi"/>
          <w:color w:val="002060"/>
          <w:sz w:val="24"/>
          <w:szCs w:val="24"/>
        </w:rPr>
      </w:pPr>
    </w:p>
    <w:p w14:paraId="00DF0D4E" w14:textId="77777777" w:rsidR="00D43722" w:rsidRPr="00D43722" w:rsidRDefault="00D43722" w:rsidP="009969B2">
      <w:pPr>
        <w:pStyle w:val="ListParagraph"/>
        <w:numPr>
          <w:ilvl w:val="0"/>
          <w:numId w:val="6"/>
        </w:numPr>
        <w:ind w:left="720"/>
        <w:rPr>
          <w:rFonts w:cstheme="minorHAnsi"/>
          <w:color w:val="002060"/>
          <w:sz w:val="24"/>
          <w:szCs w:val="24"/>
        </w:rPr>
      </w:pPr>
      <w:r w:rsidRPr="00D43722">
        <w:rPr>
          <w:rFonts w:cstheme="minorHAnsi"/>
          <w:b/>
          <w:bCs/>
          <w:color w:val="002060"/>
          <w:sz w:val="24"/>
          <w:szCs w:val="24"/>
        </w:rPr>
        <w:t>Holistic Assessment of Residents:</w:t>
      </w:r>
    </w:p>
    <w:p w14:paraId="080E189F" w14:textId="77777777" w:rsidR="00D43722" w:rsidRPr="00D43722" w:rsidRDefault="00D43722" w:rsidP="009969B2">
      <w:pPr>
        <w:pStyle w:val="ListParagraph"/>
        <w:numPr>
          <w:ilvl w:val="1"/>
          <w:numId w:val="6"/>
        </w:numPr>
        <w:ind w:left="1440"/>
        <w:rPr>
          <w:rFonts w:cstheme="minorHAnsi"/>
          <w:color w:val="002060"/>
          <w:sz w:val="24"/>
          <w:szCs w:val="24"/>
        </w:rPr>
      </w:pPr>
      <w:r w:rsidRPr="00D43722">
        <w:rPr>
          <w:rFonts w:cstheme="minorHAnsi"/>
          <w:color w:val="002060"/>
          <w:sz w:val="24"/>
          <w:szCs w:val="24"/>
        </w:rPr>
        <w:t>Social determinants, such as socioeconomic status, living conditions, and community resources, can influence an individual's health outcomes. MDS assessments, when designed to consider these social factors, provide a more holistic understanding of a resident's situation. This holistic approach helps in tailoring care plans that address not only medical needs but also social and environmental factors impacting health.</w:t>
      </w:r>
    </w:p>
    <w:p w14:paraId="1FD3307B" w14:textId="77777777" w:rsidR="00D43722" w:rsidRPr="00D43722" w:rsidRDefault="00D43722" w:rsidP="009969B2">
      <w:pPr>
        <w:pStyle w:val="ListParagraph"/>
        <w:numPr>
          <w:ilvl w:val="0"/>
          <w:numId w:val="6"/>
        </w:numPr>
        <w:ind w:left="720"/>
        <w:rPr>
          <w:rFonts w:cstheme="minorHAnsi"/>
          <w:color w:val="002060"/>
          <w:sz w:val="24"/>
          <w:szCs w:val="24"/>
        </w:rPr>
      </w:pPr>
      <w:r w:rsidRPr="00D43722">
        <w:rPr>
          <w:rFonts w:cstheme="minorHAnsi"/>
          <w:b/>
          <w:bCs/>
          <w:color w:val="002060"/>
          <w:sz w:val="24"/>
          <w:szCs w:val="24"/>
        </w:rPr>
        <w:t>Identification of Barriers to Care:</w:t>
      </w:r>
    </w:p>
    <w:p w14:paraId="03F79DD1" w14:textId="77777777" w:rsidR="00D43722" w:rsidRPr="00D43722" w:rsidRDefault="00D43722" w:rsidP="009969B2">
      <w:pPr>
        <w:pStyle w:val="ListParagraph"/>
        <w:numPr>
          <w:ilvl w:val="1"/>
          <w:numId w:val="6"/>
        </w:numPr>
        <w:ind w:left="1440"/>
        <w:rPr>
          <w:rFonts w:cstheme="minorHAnsi"/>
          <w:color w:val="002060"/>
          <w:sz w:val="24"/>
          <w:szCs w:val="24"/>
        </w:rPr>
      </w:pPr>
      <w:r w:rsidRPr="00D43722">
        <w:rPr>
          <w:rFonts w:cstheme="minorHAnsi"/>
          <w:color w:val="002060"/>
          <w:sz w:val="24"/>
          <w:szCs w:val="24"/>
        </w:rPr>
        <w:t>MDS assessments can uncover social determinants that may act as barriers to optimal health. For instance, if a resident lacks access to transportation, it could impact their ability to attend medical appointments. By identifying these barriers, healthcare providers can develop targeted interventions to mitigate the effects of social determinants and improve access to necessary care.</w:t>
      </w:r>
    </w:p>
    <w:p w14:paraId="4D6DFC75" w14:textId="77777777" w:rsidR="00D43722" w:rsidRPr="00D43722" w:rsidRDefault="00D43722" w:rsidP="009969B2">
      <w:pPr>
        <w:pStyle w:val="ListParagraph"/>
        <w:numPr>
          <w:ilvl w:val="0"/>
          <w:numId w:val="6"/>
        </w:numPr>
        <w:ind w:left="720"/>
        <w:rPr>
          <w:rFonts w:cstheme="minorHAnsi"/>
          <w:color w:val="002060"/>
          <w:sz w:val="24"/>
          <w:szCs w:val="24"/>
        </w:rPr>
      </w:pPr>
      <w:r w:rsidRPr="00D43722">
        <w:rPr>
          <w:rFonts w:cstheme="minorHAnsi"/>
          <w:b/>
          <w:bCs/>
          <w:color w:val="002060"/>
          <w:sz w:val="24"/>
          <w:szCs w:val="24"/>
        </w:rPr>
        <w:t>Customization of Care Plans:</w:t>
      </w:r>
    </w:p>
    <w:p w14:paraId="0F7AE611" w14:textId="77777777" w:rsidR="00D43722" w:rsidRPr="00D43722" w:rsidRDefault="00D43722" w:rsidP="009969B2">
      <w:pPr>
        <w:pStyle w:val="ListParagraph"/>
        <w:numPr>
          <w:ilvl w:val="1"/>
          <w:numId w:val="6"/>
        </w:numPr>
        <w:ind w:left="1440"/>
        <w:rPr>
          <w:rFonts w:cstheme="minorHAnsi"/>
          <w:color w:val="002060"/>
          <w:sz w:val="24"/>
          <w:szCs w:val="24"/>
        </w:rPr>
      </w:pPr>
      <w:r w:rsidRPr="00D43722">
        <w:rPr>
          <w:rFonts w:cstheme="minorHAnsi"/>
          <w:color w:val="002060"/>
          <w:sz w:val="24"/>
          <w:szCs w:val="24"/>
        </w:rPr>
        <w:t>Social determinants influence an individual's ability to engage in their care. MDS data, when coupled with an understanding of social factors, allows for the customization of care plans that are sensitive to the unique needs and challenges residents face. This ensures that interventions are realistic and achievable within the context of the resident's social environment.</w:t>
      </w:r>
    </w:p>
    <w:p w14:paraId="78D8D5F7" w14:textId="77777777" w:rsidR="00D43722" w:rsidRPr="00D43722" w:rsidRDefault="00D43722" w:rsidP="009969B2">
      <w:pPr>
        <w:pStyle w:val="ListParagraph"/>
        <w:numPr>
          <w:ilvl w:val="0"/>
          <w:numId w:val="6"/>
        </w:numPr>
        <w:ind w:left="720"/>
        <w:rPr>
          <w:rFonts w:cstheme="minorHAnsi"/>
          <w:color w:val="002060"/>
          <w:sz w:val="24"/>
          <w:szCs w:val="24"/>
        </w:rPr>
      </w:pPr>
      <w:r w:rsidRPr="00D43722">
        <w:rPr>
          <w:rFonts w:cstheme="minorHAnsi"/>
          <w:b/>
          <w:bCs/>
          <w:color w:val="002060"/>
          <w:sz w:val="24"/>
          <w:szCs w:val="24"/>
        </w:rPr>
        <w:t>Enhanced Communication and Collaboration:</w:t>
      </w:r>
    </w:p>
    <w:p w14:paraId="319562FC" w14:textId="77777777" w:rsidR="00D43722" w:rsidRPr="00D43722" w:rsidRDefault="00D43722" w:rsidP="009969B2">
      <w:pPr>
        <w:pStyle w:val="ListParagraph"/>
        <w:numPr>
          <w:ilvl w:val="1"/>
          <w:numId w:val="6"/>
        </w:numPr>
        <w:ind w:left="1440"/>
        <w:rPr>
          <w:rFonts w:cstheme="minorHAnsi"/>
          <w:color w:val="002060"/>
          <w:sz w:val="24"/>
          <w:szCs w:val="24"/>
        </w:rPr>
      </w:pPr>
      <w:r w:rsidRPr="00D43722">
        <w:rPr>
          <w:rFonts w:cstheme="minorHAnsi"/>
          <w:color w:val="002060"/>
          <w:sz w:val="24"/>
          <w:szCs w:val="24"/>
        </w:rPr>
        <w:t>Integrating social determinants into MDS assessments fosters better communication and collaboration among healthcare professionals, social workers, and other members of the care team. Understanding the social context enables a more comprehensive and collaborative approach to care planning, with a focus on addressing both medical and social needs.</w:t>
      </w:r>
    </w:p>
    <w:p w14:paraId="4B0339EF" w14:textId="77777777" w:rsidR="00D43722" w:rsidRPr="00D43722" w:rsidRDefault="00D43722" w:rsidP="009969B2">
      <w:pPr>
        <w:pStyle w:val="ListParagraph"/>
        <w:numPr>
          <w:ilvl w:val="0"/>
          <w:numId w:val="6"/>
        </w:numPr>
        <w:ind w:left="720"/>
        <w:rPr>
          <w:rFonts w:cstheme="minorHAnsi"/>
          <w:color w:val="002060"/>
          <w:sz w:val="24"/>
          <w:szCs w:val="24"/>
        </w:rPr>
      </w:pPr>
      <w:r w:rsidRPr="00D43722">
        <w:rPr>
          <w:rFonts w:cstheme="minorHAnsi"/>
          <w:b/>
          <w:bCs/>
          <w:color w:val="002060"/>
          <w:sz w:val="24"/>
          <w:szCs w:val="24"/>
        </w:rPr>
        <w:t>Risk Stratification and Targeted Interventions:</w:t>
      </w:r>
    </w:p>
    <w:p w14:paraId="55D25E3D" w14:textId="77777777" w:rsidR="00D43722" w:rsidRPr="00D43722" w:rsidRDefault="00D43722" w:rsidP="009969B2">
      <w:pPr>
        <w:pStyle w:val="ListParagraph"/>
        <w:numPr>
          <w:ilvl w:val="1"/>
          <w:numId w:val="6"/>
        </w:numPr>
        <w:ind w:left="1440"/>
        <w:rPr>
          <w:rFonts w:cstheme="minorHAnsi"/>
          <w:color w:val="002060"/>
          <w:sz w:val="24"/>
          <w:szCs w:val="24"/>
        </w:rPr>
      </w:pPr>
      <w:r w:rsidRPr="00D43722">
        <w:rPr>
          <w:rFonts w:cstheme="minorHAnsi"/>
          <w:color w:val="002060"/>
          <w:sz w:val="24"/>
          <w:szCs w:val="24"/>
        </w:rPr>
        <w:lastRenderedPageBreak/>
        <w:t>Social determinants can contribute to health disparities and affect the risk profile of individuals. MDS assessments, when enriched with information about social determinants, enable risk stratification. Identifying residents at higher risk due to social factors allows for targeted interventions and support services that can positively impact health outcomes and prevent avoidable complications.</w:t>
      </w:r>
    </w:p>
    <w:p w14:paraId="027630E4" w14:textId="77777777" w:rsidR="00D43722" w:rsidRPr="00D43722" w:rsidRDefault="00D43722" w:rsidP="009969B2">
      <w:pPr>
        <w:pStyle w:val="ListParagraph"/>
        <w:numPr>
          <w:ilvl w:val="0"/>
          <w:numId w:val="6"/>
        </w:numPr>
        <w:ind w:left="720"/>
        <w:rPr>
          <w:rFonts w:cstheme="minorHAnsi"/>
          <w:color w:val="002060"/>
          <w:sz w:val="24"/>
          <w:szCs w:val="24"/>
        </w:rPr>
      </w:pPr>
      <w:r w:rsidRPr="00D43722">
        <w:rPr>
          <w:rFonts w:cstheme="minorHAnsi"/>
          <w:b/>
          <w:bCs/>
          <w:color w:val="002060"/>
          <w:sz w:val="24"/>
          <w:szCs w:val="24"/>
        </w:rPr>
        <w:t>Quality Improvement Initiatives:</w:t>
      </w:r>
    </w:p>
    <w:p w14:paraId="0B3E4F6E" w14:textId="77777777" w:rsidR="00D43722" w:rsidRDefault="00D43722" w:rsidP="009969B2">
      <w:pPr>
        <w:pStyle w:val="ListParagraph"/>
        <w:numPr>
          <w:ilvl w:val="1"/>
          <w:numId w:val="6"/>
        </w:numPr>
        <w:ind w:left="1440"/>
        <w:rPr>
          <w:rFonts w:cstheme="minorHAnsi"/>
          <w:color w:val="002060"/>
          <w:sz w:val="24"/>
          <w:szCs w:val="24"/>
        </w:rPr>
      </w:pPr>
      <w:r w:rsidRPr="00D43722">
        <w:rPr>
          <w:rFonts w:cstheme="minorHAnsi"/>
          <w:color w:val="002060"/>
          <w:sz w:val="24"/>
          <w:szCs w:val="24"/>
        </w:rPr>
        <w:t>Analyzing MDS data in conjunction with social determinants helps identify patterns and trends in health disparities. This information can inform quality improvement initiatives aimed at addressing systemic issues related to social determinants of health within the LTC facility. This proactive approach contributes to better overall resident outcomes.</w:t>
      </w:r>
    </w:p>
    <w:p w14:paraId="500C7F0B" w14:textId="77777777" w:rsidR="00D43722" w:rsidRPr="00D43722" w:rsidRDefault="00D43722" w:rsidP="009969B2">
      <w:pPr>
        <w:pStyle w:val="ListParagraph"/>
        <w:ind w:left="1080"/>
        <w:rPr>
          <w:rFonts w:cstheme="minorHAnsi"/>
          <w:color w:val="002060"/>
          <w:sz w:val="24"/>
          <w:szCs w:val="24"/>
        </w:rPr>
      </w:pPr>
    </w:p>
    <w:p w14:paraId="31F01135" w14:textId="41B3873A" w:rsidR="005D04B0" w:rsidRDefault="008D2401" w:rsidP="00EC5DD9">
      <w:pPr>
        <w:pStyle w:val="ListParagraph"/>
        <w:ind w:left="360"/>
        <w:rPr>
          <w:rFonts w:cstheme="minorHAnsi"/>
          <w:color w:val="002060"/>
          <w:sz w:val="24"/>
          <w:szCs w:val="24"/>
        </w:rPr>
      </w:pPr>
      <w:r>
        <w:rPr>
          <w:rFonts w:cstheme="minorHAnsi"/>
          <w:color w:val="002060"/>
          <w:sz w:val="24"/>
          <w:szCs w:val="24"/>
        </w:rPr>
        <w:t>R</w:t>
      </w:r>
      <w:r w:rsidR="00D43722" w:rsidRPr="00D43722">
        <w:rPr>
          <w:rFonts w:cstheme="minorHAnsi"/>
          <w:color w:val="002060"/>
          <w:sz w:val="24"/>
          <w:szCs w:val="24"/>
        </w:rPr>
        <w:t>ecognizing and incorporating social determinants of health into the MDS framework in the Long-Term Care industry is crucial for providing person-centered, comprehensive care. By understanding the social context of residents, healthcare providers can develop interventions that not only address immediate health needs but also work towards creating a supportive and health-promoting environment tailored to each individual's unique circumstances.</w:t>
      </w:r>
    </w:p>
    <w:p w14:paraId="0074C26C" w14:textId="77777777" w:rsidR="00EC5DD9" w:rsidRPr="00EC5DD9" w:rsidRDefault="00EC5DD9" w:rsidP="00EC5DD9">
      <w:pPr>
        <w:pStyle w:val="ListParagraph"/>
        <w:ind w:left="360"/>
        <w:rPr>
          <w:rFonts w:cstheme="minorHAnsi"/>
          <w:color w:val="002060"/>
          <w:sz w:val="24"/>
          <w:szCs w:val="24"/>
        </w:rPr>
      </w:pPr>
    </w:p>
    <w:p w14:paraId="2176924C" w14:textId="362FC74E" w:rsidR="008D2401" w:rsidRPr="008D2401" w:rsidRDefault="008D2401" w:rsidP="009969B2">
      <w:pPr>
        <w:pStyle w:val="ListParagraph"/>
        <w:numPr>
          <w:ilvl w:val="0"/>
          <w:numId w:val="1"/>
        </w:numPr>
        <w:spacing w:after="0" w:line="240" w:lineRule="auto"/>
        <w:ind w:left="360"/>
        <w:rPr>
          <w:rFonts w:cstheme="minorHAnsi"/>
          <w:b/>
          <w:bCs/>
          <w:color w:val="002060"/>
          <w:sz w:val="24"/>
          <w:szCs w:val="24"/>
        </w:rPr>
      </w:pPr>
      <w:r w:rsidRPr="008D2401">
        <w:rPr>
          <w:rFonts w:eastAsia="Times New Roman" w:cstheme="minorHAnsi"/>
          <w:b/>
          <w:bCs/>
          <w:color w:val="002060"/>
          <w:sz w:val="24"/>
          <w:szCs w:val="24"/>
          <w:lang w:eastAsia="zh-CN"/>
        </w:rPr>
        <w:t>Standardized Patient Assessment Data Elements (SPADEs)</w:t>
      </w:r>
    </w:p>
    <w:p w14:paraId="489AE6EF" w14:textId="77777777" w:rsidR="008D2401" w:rsidRDefault="008D2401" w:rsidP="009969B2">
      <w:pPr>
        <w:pStyle w:val="ListParagraph"/>
        <w:spacing w:after="0" w:line="240" w:lineRule="auto"/>
        <w:ind w:left="360"/>
        <w:rPr>
          <w:rFonts w:cstheme="minorHAnsi"/>
          <w:color w:val="002060"/>
          <w:sz w:val="24"/>
          <w:szCs w:val="24"/>
        </w:rPr>
      </w:pPr>
    </w:p>
    <w:p w14:paraId="19D0736E" w14:textId="08B7AB39" w:rsidR="005D04B0" w:rsidRPr="00581351" w:rsidRDefault="00724496" w:rsidP="009969B2">
      <w:pPr>
        <w:pStyle w:val="ListParagraph"/>
        <w:spacing w:after="0" w:line="240" w:lineRule="auto"/>
        <w:ind w:left="360"/>
        <w:rPr>
          <w:rFonts w:cstheme="minorHAnsi"/>
          <w:color w:val="002060"/>
          <w:sz w:val="24"/>
          <w:szCs w:val="24"/>
        </w:rPr>
      </w:pPr>
      <w:r w:rsidRPr="003212DF">
        <w:rPr>
          <w:rFonts w:cstheme="minorHAnsi"/>
          <w:color w:val="002060"/>
          <w:sz w:val="24"/>
          <w:szCs w:val="24"/>
        </w:rPr>
        <w:t>The SPADE items</w:t>
      </w:r>
      <w:r w:rsidR="005D04B0" w:rsidRPr="003212DF">
        <w:rPr>
          <w:rFonts w:cstheme="minorHAnsi"/>
          <w:color w:val="002060"/>
          <w:sz w:val="24"/>
          <w:szCs w:val="24"/>
        </w:rPr>
        <w:t xml:space="preserve"> are in the APU Table </w:t>
      </w:r>
      <w:r w:rsidR="009969B2">
        <w:rPr>
          <w:rFonts w:cstheme="minorHAnsi"/>
          <w:color w:val="002060"/>
          <w:sz w:val="24"/>
          <w:szCs w:val="24"/>
        </w:rPr>
        <w:t>which was</w:t>
      </w:r>
      <w:r w:rsidR="005D04B0" w:rsidRPr="003212DF">
        <w:rPr>
          <w:rFonts w:cstheme="minorHAnsi"/>
          <w:color w:val="002060"/>
          <w:sz w:val="24"/>
          <w:szCs w:val="24"/>
        </w:rPr>
        <w:t xml:space="preserve"> revised for the QRP Data Submission Threshold.  Data collected after January 1, </w:t>
      </w:r>
      <w:r w:rsidR="009969B2" w:rsidRPr="003212DF">
        <w:rPr>
          <w:rFonts w:cstheme="minorHAnsi"/>
          <w:color w:val="002060"/>
          <w:sz w:val="24"/>
          <w:szCs w:val="24"/>
        </w:rPr>
        <w:t>2024,</w:t>
      </w:r>
      <w:r w:rsidR="005D04B0" w:rsidRPr="003212DF">
        <w:rPr>
          <w:rFonts w:cstheme="minorHAnsi"/>
          <w:color w:val="002060"/>
          <w:sz w:val="24"/>
          <w:szCs w:val="24"/>
        </w:rPr>
        <w:t xml:space="preserve"> will affect the QRP Program Year 2026 when the </w:t>
      </w:r>
      <w:r w:rsidR="00350444" w:rsidRPr="003212DF">
        <w:rPr>
          <w:rFonts w:cstheme="minorHAnsi"/>
          <w:color w:val="002060"/>
          <w:sz w:val="24"/>
          <w:szCs w:val="24"/>
        </w:rPr>
        <w:t>t</w:t>
      </w:r>
      <w:r w:rsidR="005D04B0" w:rsidRPr="003212DF">
        <w:rPr>
          <w:rFonts w:cstheme="minorHAnsi"/>
          <w:color w:val="002060"/>
          <w:sz w:val="24"/>
          <w:szCs w:val="24"/>
        </w:rPr>
        <w:t>hreshold will be 90% instead of 80%.</w:t>
      </w:r>
    </w:p>
    <w:p w14:paraId="357FEB5B" w14:textId="7D18B950" w:rsidR="00724496" w:rsidRPr="00581351" w:rsidRDefault="00724496" w:rsidP="009969B2">
      <w:pPr>
        <w:pStyle w:val="ListParagraph"/>
        <w:spacing w:after="0" w:line="240" w:lineRule="auto"/>
        <w:ind w:left="360"/>
        <w:rPr>
          <w:rFonts w:cstheme="minorHAnsi"/>
          <w:color w:val="002060"/>
          <w:sz w:val="24"/>
          <w:szCs w:val="24"/>
        </w:rPr>
      </w:pPr>
    </w:p>
    <w:p w14:paraId="15B19F1A" w14:textId="12DE4768" w:rsidR="00D43722" w:rsidRPr="008D2401" w:rsidRDefault="00D16D30" w:rsidP="009969B2">
      <w:pPr>
        <w:pStyle w:val="ListParagraph"/>
        <w:numPr>
          <w:ilvl w:val="0"/>
          <w:numId w:val="1"/>
        </w:numPr>
        <w:spacing w:after="0" w:line="240" w:lineRule="auto"/>
        <w:ind w:left="360"/>
        <w:rPr>
          <w:rFonts w:cstheme="minorHAnsi"/>
          <w:b/>
          <w:bCs/>
          <w:color w:val="002060"/>
          <w:sz w:val="24"/>
          <w:szCs w:val="24"/>
        </w:rPr>
      </w:pPr>
      <w:r w:rsidRPr="008D2401">
        <w:rPr>
          <w:rFonts w:cstheme="minorHAnsi"/>
          <w:b/>
          <w:bCs/>
          <w:color w:val="002060"/>
          <w:sz w:val="24"/>
          <w:szCs w:val="24"/>
        </w:rPr>
        <w:t>Functional Status</w:t>
      </w:r>
      <w:r w:rsidR="005D4EFE">
        <w:rPr>
          <w:rFonts w:cstheme="minorHAnsi"/>
          <w:b/>
          <w:bCs/>
          <w:color w:val="002060"/>
          <w:sz w:val="24"/>
          <w:szCs w:val="24"/>
        </w:rPr>
        <w:t xml:space="preserve">: </w:t>
      </w:r>
      <w:r w:rsidR="005D4EFE" w:rsidRPr="008D2401">
        <w:rPr>
          <w:rFonts w:cstheme="minorHAnsi"/>
          <w:b/>
          <w:bCs/>
          <w:color w:val="002060"/>
          <w:sz w:val="24"/>
          <w:szCs w:val="24"/>
        </w:rPr>
        <w:t>Section G</w:t>
      </w:r>
      <w:r w:rsidRPr="008D2401">
        <w:rPr>
          <w:rFonts w:cstheme="minorHAnsi"/>
          <w:b/>
          <w:bCs/>
          <w:color w:val="002060"/>
          <w:sz w:val="24"/>
          <w:szCs w:val="24"/>
        </w:rPr>
        <w:t xml:space="preserve"> Elimination</w:t>
      </w:r>
    </w:p>
    <w:p w14:paraId="07AA9811" w14:textId="77777777" w:rsidR="00D43722" w:rsidRDefault="00D43722" w:rsidP="009969B2">
      <w:pPr>
        <w:spacing w:after="0" w:line="240" w:lineRule="auto"/>
        <w:rPr>
          <w:rFonts w:cstheme="minorHAnsi"/>
          <w:color w:val="002060"/>
          <w:sz w:val="24"/>
          <w:szCs w:val="24"/>
        </w:rPr>
      </w:pPr>
    </w:p>
    <w:p w14:paraId="0E342FD1" w14:textId="7BA5361D" w:rsidR="00D16D30" w:rsidRPr="00D16D30" w:rsidRDefault="00D43722" w:rsidP="009969B2">
      <w:pPr>
        <w:spacing w:after="0" w:line="240" w:lineRule="auto"/>
        <w:ind w:left="360"/>
        <w:rPr>
          <w:rFonts w:cstheme="minorHAnsi"/>
          <w:color w:val="002060"/>
          <w:sz w:val="24"/>
          <w:szCs w:val="24"/>
        </w:rPr>
      </w:pPr>
      <w:r w:rsidRPr="00D43722">
        <w:rPr>
          <w:rFonts w:cstheme="minorHAnsi"/>
          <w:color w:val="002060"/>
          <w:sz w:val="24"/>
          <w:szCs w:val="24"/>
        </w:rPr>
        <w:t xml:space="preserve">The elimination of Section G </w:t>
      </w:r>
      <w:r w:rsidR="00D16D30" w:rsidRPr="00D16D30">
        <w:rPr>
          <w:rFonts w:cstheme="minorHAnsi"/>
          <w:color w:val="002060"/>
          <w:sz w:val="24"/>
          <w:szCs w:val="24"/>
        </w:rPr>
        <w:t>(Functional Status)</w:t>
      </w:r>
      <w:r w:rsidR="00D16D30">
        <w:rPr>
          <w:rFonts w:cstheme="minorHAnsi"/>
          <w:color w:val="002060"/>
          <w:sz w:val="24"/>
          <w:szCs w:val="24"/>
        </w:rPr>
        <w:t xml:space="preserve"> </w:t>
      </w:r>
      <w:r w:rsidRPr="00D43722">
        <w:rPr>
          <w:rFonts w:cstheme="minorHAnsi"/>
          <w:color w:val="002060"/>
          <w:sz w:val="24"/>
          <w:szCs w:val="24"/>
        </w:rPr>
        <w:t xml:space="preserve">from the MDS </w:t>
      </w:r>
      <w:r>
        <w:rPr>
          <w:rFonts w:cstheme="minorHAnsi"/>
          <w:color w:val="002060"/>
          <w:sz w:val="24"/>
          <w:szCs w:val="24"/>
        </w:rPr>
        <w:t>impacts an array of areas including but not limited to</w:t>
      </w:r>
      <w:r w:rsidR="00D16D30">
        <w:rPr>
          <w:rFonts w:cstheme="minorHAnsi"/>
          <w:color w:val="002060"/>
          <w:sz w:val="24"/>
          <w:szCs w:val="24"/>
        </w:rPr>
        <w:t xml:space="preserve">; the </w:t>
      </w:r>
      <w:r w:rsidR="00D16D30" w:rsidRPr="00D16D30">
        <w:rPr>
          <w:rFonts w:cstheme="minorHAnsi"/>
          <w:color w:val="002060"/>
          <w:sz w:val="24"/>
          <w:szCs w:val="24"/>
        </w:rPr>
        <w:t>Loss of Functional Status Information</w:t>
      </w:r>
      <w:r w:rsidR="00D16D30">
        <w:rPr>
          <w:rFonts w:cstheme="minorHAnsi"/>
          <w:color w:val="002060"/>
          <w:sz w:val="24"/>
          <w:szCs w:val="24"/>
        </w:rPr>
        <w:t xml:space="preserve">, an </w:t>
      </w:r>
      <w:r w:rsidR="00D16D30" w:rsidRPr="00D16D30">
        <w:rPr>
          <w:rFonts w:cstheme="minorHAnsi"/>
          <w:color w:val="002060"/>
          <w:sz w:val="24"/>
          <w:szCs w:val="24"/>
        </w:rPr>
        <w:t>Impact on Care Planning</w:t>
      </w:r>
      <w:r w:rsidR="00D16D30">
        <w:rPr>
          <w:rFonts w:cstheme="minorHAnsi"/>
          <w:color w:val="002060"/>
          <w:sz w:val="24"/>
          <w:szCs w:val="24"/>
        </w:rPr>
        <w:t xml:space="preserve">, the source data for </w:t>
      </w:r>
      <w:r w:rsidR="00D16D30" w:rsidRPr="00D16D30">
        <w:rPr>
          <w:rFonts w:cstheme="minorHAnsi"/>
          <w:color w:val="002060"/>
          <w:sz w:val="24"/>
          <w:szCs w:val="24"/>
        </w:rPr>
        <w:t>Quality Measurement and Benchmarking</w:t>
      </w:r>
      <w:r w:rsidR="00D16D30">
        <w:rPr>
          <w:rFonts w:cstheme="minorHAnsi"/>
          <w:color w:val="002060"/>
          <w:sz w:val="24"/>
          <w:szCs w:val="24"/>
        </w:rPr>
        <w:t xml:space="preserve">, </w:t>
      </w:r>
      <w:r w:rsidR="00D16D30" w:rsidRPr="00D16D30">
        <w:rPr>
          <w:rFonts w:cstheme="minorHAnsi"/>
          <w:color w:val="002060"/>
          <w:sz w:val="24"/>
          <w:szCs w:val="24"/>
        </w:rPr>
        <w:t>Interdisciplinary Communication</w:t>
      </w:r>
      <w:r w:rsidR="00D16D30">
        <w:rPr>
          <w:rFonts w:cstheme="minorHAnsi"/>
          <w:color w:val="002060"/>
          <w:sz w:val="24"/>
          <w:szCs w:val="24"/>
        </w:rPr>
        <w:t xml:space="preserve">, </w:t>
      </w:r>
      <w:r w:rsidR="00D16D30" w:rsidRPr="00D16D30">
        <w:rPr>
          <w:rFonts w:cstheme="minorHAnsi"/>
          <w:color w:val="002060"/>
          <w:sz w:val="24"/>
          <w:szCs w:val="24"/>
        </w:rPr>
        <w:t>Reimbursement Implications</w:t>
      </w:r>
      <w:r w:rsidR="00D16D30">
        <w:rPr>
          <w:rFonts w:cstheme="minorHAnsi"/>
          <w:color w:val="002060"/>
          <w:sz w:val="24"/>
          <w:szCs w:val="24"/>
        </w:rPr>
        <w:t xml:space="preserve">, as well as the </w:t>
      </w:r>
      <w:r w:rsidR="00D16D30" w:rsidRPr="00D16D30">
        <w:rPr>
          <w:rFonts w:cstheme="minorHAnsi"/>
          <w:color w:val="002060"/>
          <w:sz w:val="24"/>
          <w:szCs w:val="24"/>
        </w:rPr>
        <w:t>Adaptation to Changing Standards:</w:t>
      </w:r>
    </w:p>
    <w:p w14:paraId="6CB08CDE" w14:textId="77777777" w:rsidR="00D16D30" w:rsidRDefault="00D16D30" w:rsidP="009969B2">
      <w:pPr>
        <w:spacing w:after="0" w:line="240" w:lineRule="auto"/>
        <w:ind w:firstLine="720"/>
        <w:rPr>
          <w:rFonts w:cstheme="minorHAnsi"/>
          <w:color w:val="002060"/>
          <w:sz w:val="24"/>
          <w:szCs w:val="24"/>
        </w:rPr>
      </w:pPr>
    </w:p>
    <w:p w14:paraId="3271A869" w14:textId="2A1ED792" w:rsidR="00D16D30" w:rsidRPr="009969B2" w:rsidRDefault="00D16D30" w:rsidP="009969B2">
      <w:pPr>
        <w:pStyle w:val="ListParagraph"/>
        <w:spacing w:after="0" w:line="240" w:lineRule="auto"/>
        <w:ind w:left="360"/>
        <w:rPr>
          <w:rFonts w:cstheme="minorHAnsi"/>
          <w:color w:val="002060"/>
          <w:sz w:val="24"/>
          <w:szCs w:val="24"/>
        </w:rPr>
      </w:pPr>
      <w:r>
        <w:rPr>
          <w:rFonts w:cstheme="minorHAnsi"/>
          <w:color w:val="002060"/>
          <w:sz w:val="24"/>
          <w:szCs w:val="24"/>
        </w:rPr>
        <w:t xml:space="preserve">While all are extremely important, it is important to note that </w:t>
      </w:r>
      <w:r w:rsidRPr="00581351">
        <w:rPr>
          <w:rFonts w:cstheme="minorHAnsi"/>
          <w:color w:val="002060"/>
          <w:sz w:val="24"/>
          <w:szCs w:val="24"/>
        </w:rPr>
        <w:t>Section G impact</w:t>
      </w:r>
      <w:r>
        <w:rPr>
          <w:rFonts w:cstheme="minorHAnsi"/>
          <w:color w:val="002060"/>
          <w:sz w:val="24"/>
          <w:szCs w:val="24"/>
        </w:rPr>
        <w:t>ed</w:t>
      </w:r>
      <w:r w:rsidRPr="00581351">
        <w:rPr>
          <w:rFonts w:cstheme="minorHAnsi"/>
          <w:color w:val="002060"/>
          <w:sz w:val="24"/>
          <w:szCs w:val="24"/>
        </w:rPr>
        <w:t xml:space="preserve"> five quality measures and both the Quality Measure and the Staffing Components of the Five Star Rating System.  The calculation</w:t>
      </w:r>
      <w:r>
        <w:rPr>
          <w:rFonts w:cstheme="minorHAnsi"/>
          <w:color w:val="002060"/>
          <w:sz w:val="24"/>
          <w:szCs w:val="24"/>
        </w:rPr>
        <w:t>s</w:t>
      </w:r>
      <w:r w:rsidRPr="00581351">
        <w:rPr>
          <w:rFonts w:cstheme="minorHAnsi"/>
          <w:color w:val="002060"/>
          <w:sz w:val="24"/>
          <w:szCs w:val="24"/>
        </w:rPr>
        <w:t xml:space="preserve"> </w:t>
      </w:r>
      <w:r>
        <w:rPr>
          <w:rFonts w:cstheme="minorHAnsi"/>
          <w:color w:val="002060"/>
          <w:sz w:val="24"/>
          <w:szCs w:val="24"/>
        </w:rPr>
        <w:t xml:space="preserve">for </w:t>
      </w:r>
      <w:r w:rsidRPr="00581351">
        <w:rPr>
          <w:rFonts w:cstheme="minorHAnsi"/>
          <w:color w:val="002060"/>
          <w:sz w:val="24"/>
          <w:szCs w:val="24"/>
        </w:rPr>
        <w:t xml:space="preserve">quality measures will change after a </w:t>
      </w:r>
      <w:r>
        <w:rPr>
          <w:rFonts w:cstheme="minorHAnsi"/>
          <w:color w:val="002060"/>
          <w:sz w:val="24"/>
          <w:szCs w:val="24"/>
        </w:rPr>
        <w:t xml:space="preserve">freeze </w:t>
      </w:r>
      <w:r w:rsidRPr="00581351">
        <w:rPr>
          <w:rFonts w:cstheme="minorHAnsi"/>
          <w:color w:val="002060"/>
          <w:sz w:val="24"/>
          <w:szCs w:val="24"/>
        </w:rPr>
        <w:t xml:space="preserve">period (starting in April 2024) when four measures </w:t>
      </w:r>
      <w:r>
        <w:rPr>
          <w:rFonts w:cstheme="minorHAnsi"/>
          <w:color w:val="002060"/>
          <w:sz w:val="24"/>
          <w:szCs w:val="24"/>
        </w:rPr>
        <w:t>will be</w:t>
      </w:r>
      <w:r w:rsidRPr="00581351">
        <w:rPr>
          <w:rFonts w:cstheme="minorHAnsi"/>
          <w:color w:val="002060"/>
          <w:sz w:val="24"/>
          <w:szCs w:val="24"/>
        </w:rPr>
        <w:t xml:space="preserve"> frozen with three of them remaining frozen </w:t>
      </w:r>
      <w:r>
        <w:rPr>
          <w:rFonts w:cstheme="minorHAnsi"/>
          <w:color w:val="002060"/>
          <w:sz w:val="24"/>
          <w:szCs w:val="24"/>
        </w:rPr>
        <w:t xml:space="preserve">until </w:t>
      </w:r>
      <w:r w:rsidRPr="00581351">
        <w:rPr>
          <w:rFonts w:cstheme="minorHAnsi"/>
          <w:color w:val="002060"/>
          <w:sz w:val="24"/>
          <w:szCs w:val="24"/>
        </w:rPr>
        <w:t xml:space="preserve">January 2025. </w:t>
      </w:r>
    </w:p>
    <w:p w14:paraId="4E0244C8" w14:textId="77777777" w:rsidR="001036ED" w:rsidRPr="00581351" w:rsidRDefault="001036ED" w:rsidP="009969B2">
      <w:pPr>
        <w:pStyle w:val="ListParagraph"/>
        <w:spacing w:after="0" w:line="240" w:lineRule="auto"/>
        <w:ind w:left="360"/>
        <w:rPr>
          <w:rFonts w:cstheme="minorHAnsi"/>
          <w:color w:val="002060"/>
          <w:sz w:val="24"/>
          <w:szCs w:val="24"/>
        </w:rPr>
      </w:pPr>
    </w:p>
    <w:p w14:paraId="49CC3581" w14:textId="40C5EB8C" w:rsidR="00372844" w:rsidRPr="00581351" w:rsidRDefault="00372844" w:rsidP="009969B2">
      <w:pPr>
        <w:pStyle w:val="ListParagraph"/>
        <w:numPr>
          <w:ilvl w:val="0"/>
          <w:numId w:val="1"/>
        </w:numPr>
        <w:spacing w:after="0" w:line="240" w:lineRule="auto"/>
        <w:ind w:left="360"/>
        <w:rPr>
          <w:rFonts w:cstheme="minorHAnsi"/>
          <w:b/>
          <w:bCs/>
          <w:color w:val="002060"/>
          <w:sz w:val="24"/>
          <w:szCs w:val="24"/>
        </w:rPr>
      </w:pPr>
      <w:r w:rsidRPr="00581351">
        <w:rPr>
          <w:rFonts w:cstheme="minorHAnsi"/>
          <w:b/>
          <w:bCs/>
          <w:color w:val="002060"/>
          <w:sz w:val="24"/>
          <w:szCs w:val="24"/>
        </w:rPr>
        <w:t>Data Transparency</w:t>
      </w:r>
    </w:p>
    <w:p w14:paraId="31BAF349" w14:textId="77777777" w:rsidR="00394C6F" w:rsidRPr="00581351" w:rsidRDefault="00394C6F" w:rsidP="009969B2">
      <w:pPr>
        <w:pStyle w:val="ListParagraph"/>
        <w:spacing w:after="0" w:line="240" w:lineRule="auto"/>
        <w:ind w:left="360"/>
        <w:rPr>
          <w:rFonts w:cstheme="minorHAnsi"/>
          <w:color w:val="002060"/>
          <w:sz w:val="24"/>
          <w:szCs w:val="24"/>
        </w:rPr>
      </w:pPr>
    </w:p>
    <w:p w14:paraId="3C2ACA12" w14:textId="2B5BA007" w:rsidR="00B62023" w:rsidRPr="00581351" w:rsidRDefault="00B62023" w:rsidP="009969B2">
      <w:pPr>
        <w:pStyle w:val="ListParagraph"/>
        <w:spacing w:after="0" w:line="240" w:lineRule="auto"/>
        <w:ind w:left="360"/>
        <w:rPr>
          <w:rFonts w:cstheme="minorHAnsi"/>
          <w:color w:val="002060"/>
          <w:sz w:val="24"/>
          <w:szCs w:val="24"/>
        </w:rPr>
      </w:pPr>
      <w:r w:rsidRPr="00581351">
        <w:rPr>
          <w:rFonts w:cstheme="minorHAnsi"/>
          <w:color w:val="002060"/>
          <w:sz w:val="24"/>
          <w:szCs w:val="24"/>
        </w:rPr>
        <w:lastRenderedPageBreak/>
        <w:t xml:space="preserve">The information available to the public, referral sources, and others is increasing with </w:t>
      </w:r>
      <w:r w:rsidR="00AD3680" w:rsidRPr="00581351">
        <w:rPr>
          <w:rFonts w:cstheme="minorHAnsi"/>
          <w:color w:val="002060"/>
          <w:sz w:val="24"/>
          <w:szCs w:val="24"/>
        </w:rPr>
        <w:t>reporting on Care Compare</w:t>
      </w:r>
      <w:r w:rsidR="00956E3B" w:rsidRPr="00581351">
        <w:rPr>
          <w:rFonts w:cstheme="minorHAnsi"/>
          <w:color w:val="002060"/>
          <w:sz w:val="24"/>
          <w:szCs w:val="24"/>
        </w:rPr>
        <w:t>, the Provider Data Catalog at Data.CMS.gov</w:t>
      </w:r>
      <w:r w:rsidR="00350444" w:rsidRPr="00581351">
        <w:rPr>
          <w:rFonts w:cstheme="minorHAnsi"/>
          <w:color w:val="002060"/>
          <w:sz w:val="24"/>
          <w:szCs w:val="24"/>
        </w:rPr>
        <w:t xml:space="preserve"> and </w:t>
      </w:r>
      <w:r w:rsidR="00956E3B" w:rsidRPr="00581351">
        <w:rPr>
          <w:rFonts w:cstheme="minorHAnsi"/>
          <w:color w:val="002060"/>
          <w:sz w:val="24"/>
          <w:szCs w:val="24"/>
        </w:rPr>
        <w:t>elsewhere</w:t>
      </w:r>
      <w:r w:rsidR="00AD3680" w:rsidRPr="00581351">
        <w:rPr>
          <w:rFonts w:cstheme="minorHAnsi"/>
          <w:color w:val="002060"/>
          <w:sz w:val="24"/>
          <w:szCs w:val="24"/>
        </w:rPr>
        <w:t>.  Th</w:t>
      </w:r>
      <w:r w:rsidR="00956E3B" w:rsidRPr="00581351">
        <w:rPr>
          <w:rFonts w:cstheme="minorHAnsi"/>
          <w:color w:val="002060"/>
          <w:sz w:val="24"/>
          <w:szCs w:val="24"/>
        </w:rPr>
        <w:t>ese</w:t>
      </w:r>
      <w:r w:rsidR="00AD3680" w:rsidRPr="00581351">
        <w:rPr>
          <w:rFonts w:cstheme="minorHAnsi"/>
          <w:color w:val="002060"/>
          <w:sz w:val="24"/>
          <w:szCs w:val="24"/>
        </w:rPr>
        <w:t xml:space="preserve"> </w:t>
      </w:r>
      <w:r w:rsidR="001D0B58" w:rsidRPr="00581351">
        <w:rPr>
          <w:rFonts w:cstheme="minorHAnsi"/>
          <w:color w:val="002060"/>
          <w:sz w:val="24"/>
          <w:szCs w:val="24"/>
        </w:rPr>
        <w:t>sites</w:t>
      </w:r>
      <w:r w:rsidR="00AD3680" w:rsidRPr="00581351">
        <w:rPr>
          <w:rFonts w:cstheme="minorHAnsi"/>
          <w:color w:val="002060"/>
          <w:sz w:val="24"/>
          <w:szCs w:val="24"/>
        </w:rPr>
        <w:t xml:space="preserve"> include </w:t>
      </w:r>
      <w:r w:rsidR="00284F47" w:rsidRPr="00581351">
        <w:rPr>
          <w:rFonts w:cstheme="minorHAnsi"/>
          <w:color w:val="002060"/>
          <w:sz w:val="24"/>
          <w:szCs w:val="24"/>
        </w:rPr>
        <w:t xml:space="preserve">data based on </w:t>
      </w:r>
      <w:r w:rsidR="001D0B58" w:rsidRPr="00581351">
        <w:rPr>
          <w:rFonts w:cstheme="minorHAnsi"/>
          <w:color w:val="002060"/>
          <w:sz w:val="24"/>
          <w:szCs w:val="24"/>
        </w:rPr>
        <w:t xml:space="preserve">the </w:t>
      </w:r>
      <w:r w:rsidR="00AD3680" w:rsidRPr="00581351">
        <w:rPr>
          <w:rFonts w:cstheme="minorHAnsi"/>
          <w:color w:val="002060"/>
          <w:sz w:val="24"/>
          <w:szCs w:val="24"/>
        </w:rPr>
        <w:t>new</w:t>
      </w:r>
      <w:r w:rsidR="00284F47" w:rsidRPr="00581351">
        <w:rPr>
          <w:rFonts w:cstheme="minorHAnsi"/>
          <w:color w:val="002060"/>
          <w:sz w:val="24"/>
          <w:szCs w:val="24"/>
        </w:rPr>
        <w:t xml:space="preserve"> MDS</w:t>
      </w:r>
      <w:r w:rsidR="00AD3680" w:rsidRPr="00581351">
        <w:rPr>
          <w:rFonts w:cstheme="minorHAnsi"/>
          <w:color w:val="002060"/>
          <w:sz w:val="24"/>
          <w:szCs w:val="24"/>
        </w:rPr>
        <w:t xml:space="preserve"> items</w:t>
      </w:r>
      <w:r w:rsidR="00284F47" w:rsidRPr="00581351">
        <w:rPr>
          <w:rFonts w:cstheme="minorHAnsi"/>
          <w:color w:val="002060"/>
          <w:sz w:val="24"/>
          <w:szCs w:val="24"/>
        </w:rPr>
        <w:t>.</w:t>
      </w:r>
      <w:r w:rsidR="00AD3680" w:rsidRPr="00581351">
        <w:rPr>
          <w:rFonts w:cstheme="minorHAnsi"/>
          <w:color w:val="002060"/>
          <w:sz w:val="24"/>
          <w:szCs w:val="24"/>
        </w:rPr>
        <w:t xml:space="preserve"> </w:t>
      </w:r>
      <w:r w:rsidR="00284F47" w:rsidRPr="00581351">
        <w:rPr>
          <w:rFonts w:cstheme="minorHAnsi"/>
          <w:color w:val="002060"/>
          <w:sz w:val="24"/>
          <w:szCs w:val="24"/>
        </w:rPr>
        <w:t xml:space="preserve"> For instance, the</w:t>
      </w:r>
      <w:r w:rsidR="00AD3680" w:rsidRPr="00581351">
        <w:rPr>
          <w:rFonts w:cstheme="minorHAnsi"/>
          <w:color w:val="002060"/>
          <w:sz w:val="24"/>
          <w:szCs w:val="24"/>
        </w:rPr>
        <w:t xml:space="preserve"> transfer of health </w:t>
      </w:r>
      <w:r w:rsidR="00284F47" w:rsidRPr="00581351">
        <w:rPr>
          <w:rFonts w:cstheme="minorHAnsi"/>
          <w:color w:val="002060"/>
          <w:sz w:val="24"/>
          <w:szCs w:val="24"/>
        </w:rPr>
        <w:t>data</w:t>
      </w:r>
      <w:r w:rsidR="00AD3680" w:rsidRPr="00581351">
        <w:rPr>
          <w:rFonts w:cstheme="minorHAnsi"/>
          <w:color w:val="002060"/>
          <w:sz w:val="24"/>
          <w:szCs w:val="24"/>
        </w:rPr>
        <w:t xml:space="preserve"> </w:t>
      </w:r>
      <w:r w:rsidR="00284F47" w:rsidRPr="00581351">
        <w:rPr>
          <w:rFonts w:cstheme="minorHAnsi"/>
          <w:color w:val="002060"/>
          <w:sz w:val="24"/>
          <w:szCs w:val="24"/>
        </w:rPr>
        <w:t>posted to Care Compare</w:t>
      </w:r>
      <w:r w:rsidR="00AD3680" w:rsidRPr="00581351">
        <w:rPr>
          <w:rFonts w:cstheme="minorHAnsi"/>
          <w:color w:val="002060"/>
          <w:sz w:val="24"/>
          <w:szCs w:val="24"/>
        </w:rPr>
        <w:t xml:space="preserve"> in October of 2025</w:t>
      </w:r>
      <w:r w:rsidR="00284F47" w:rsidRPr="00581351">
        <w:rPr>
          <w:rFonts w:cstheme="minorHAnsi"/>
          <w:color w:val="002060"/>
          <w:sz w:val="24"/>
          <w:szCs w:val="24"/>
        </w:rPr>
        <w:t xml:space="preserve"> will be</w:t>
      </w:r>
      <w:r w:rsidR="00AD3680" w:rsidRPr="00581351">
        <w:rPr>
          <w:rFonts w:cstheme="minorHAnsi"/>
          <w:color w:val="002060"/>
          <w:sz w:val="24"/>
          <w:szCs w:val="24"/>
        </w:rPr>
        <w:t xml:space="preserve"> based on </w:t>
      </w:r>
      <w:r w:rsidR="00284F47" w:rsidRPr="00581351">
        <w:rPr>
          <w:rFonts w:cstheme="minorHAnsi"/>
          <w:color w:val="002060"/>
          <w:sz w:val="24"/>
          <w:szCs w:val="24"/>
        </w:rPr>
        <w:t>the pertinent items</w:t>
      </w:r>
      <w:r w:rsidR="00AD3680" w:rsidRPr="00581351">
        <w:rPr>
          <w:rFonts w:cstheme="minorHAnsi"/>
          <w:color w:val="002060"/>
          <w:sz w:val="24"/>
          <w:szCs w:val="24"/>
        </w:rPr>
        <w:t xml:space="preserve"> that are new on MDS 3.0 v.1.18.11. </w:t>
      </w:r>
    </w:p>
    <w:p w14:paraId="5672648B" w14:textId="77777777" w:rsidR="00394C6F" w:rsidRPr="00581351" w:rsidRDefault="00394C6F" w:rsidP="009969B2">
      <w:pPr>
        <w:pStyle w:val="ListParagraph"/>
        <w:spacing w:after="0" w:line="240" w:lineRule="auto"/>
        <w:ind w:left="360"/>
        <w:rPr>
          <w:rFonts w:cstheme="minorHAnsi"/>
          <w:color w:val="002060"/>
          <w:sz w:val="24"/>
          <w:szCs w:val="24"/>
        </w:rPr>
      </w:pPr>
    </w:p>
    <w:p w14:paraId="4C1E46FE" w14:textId="5032EABA" w:rsidR="00DE15F7" w:rsidRPr="00581351" w:rsidRDefault="009213C2" w:rsidP="009969B2">
      <w:pPr>
        <w:pStyle w:val="ListParagraph"/>
        <w:numPr>
          <w:ilvl w:val="0"/>
          <w:numId w:val="1"/>
        </w:numPr>
        <w:spacing w:after="0" w:line="240" w:lineRule="auto"/>
        <w:ind w:left="360"/>
        <w:rPr>
          <w:rFonts w:cstheme="minorHAnsi"/>
          <w:b/>
          <w:bCs/>
          <w:color w:val="002060"/>
          <w:sz w:val="24"/>
          <w:szCs w:val="24"/>
        </w:rPr>
      </w:pPr>
      <w:r w:rsidRPr="00581351">
        <w:rPr>
          <w:rFonts w:cstheme="minorHAnsi"/>
          <w:b/>
          <w:bCs/>
          <w:color w:val="002060"/>
          <w:sz w:val="24"/>
          <w:szCs w:val="24"/>
        </w:rPr>
        <w:t xml:space="preserve">Medicare Part A </w:t>
      </w:r>
      <w:r w:rsidR="00394C6F" w:rsidRPr="00581351">
        <w:rPr>
          <w:rFonts w:cstheme="minorHAnsi"/>
          <w:b/>
          <w:bCs/>
          <w:color w:val="002060"/>
          <w:sz w:val="24"/>
          <w:szCs w:val="24"/>
        </w:rPr>
        <w:t xml:space="preserve">PPS </w:t>
      </w:r>
      <w:r w:rsidR="003212DF" w:rsidRPr="00581351">
        <w:rPr>
          <w:rFonts w:cstheme="minorHAnsi"/>
          <w:b/>
          <w:bCs/>
          <w:color w:val="002060"/>
          <w:sz w:val="24"/>
          <w:szCs w:val="24"/>
        </w:rPr>
        <w:t>Discharges Complexity</w:t>
      </w:r>
    </w:p>
    <w:p w14:paraId="78A0288F" w14:textId="77777777" w:rsidR="009213C2" w:rsidRPr="00581351" w:rsidRDefault="009213C2" w:rsidP="009969B2">
      <w:pPr>
        <w:pStyle w:val="ListParagraph"/>
        <w:spacing w:after="0" w:line="240" w:lineRule="auto"/>
        <w:ind w:left="360"/>
        <w:rPr>
          <w:rFonts w:cstheme="minorHAnsi"/>
          <w:color w:val="002060"/>
          <w:sz w:val="24"/>
          <w:szCs w:val="24"/>
        </w:rPr>
      </w:pPr>
    </w:p>
    <w:p w14:paraId="28372FB1" w14:textId="20465351" w:rsidR="009D4AA3" w:rsidRPr="00581351" w:rsidRDefault="00DE15F7" w:rsidP="009969B2">
      <w:pPr>
        <w:pStyle w:val="ListParagraph"/>
        <w:spacing w:after="0" w:line="240" w:lineRule="auto"/>
        <w:ind w:left="360"/>
        <w:rPr>
          <w:rFonts w:cstheme="minorHAnsi"/>
          <w:color w:val="002060"/>
          <w:sz w:val="24"/>
          <w:szCs w:val="24"/>
        </w:rPr>
      </w:pPr>
      <w:r w:rsidRPr="00581351">
        <w:rPr>
          <w:rFonts w:cstheme="minorHAnsi"/>
          <w:color w:val="002060"/>
          <w:sz w:val="24"/>
          <w:szCs w:val="24"/>
        </w:rPr>
        <w:t>The Medicare Part A PPS Discharge Assessment (</w:t>
      </w:r>
      <w:r w:rsidR="00372844" w:rsidRPr="00581351">
        <w:rPr>
          <w:rFonts w:cstheme="minorHAnsi"/>
          <w:color w:val="002060"/>
          <w:sz w:val="24"/>
          <w:szCs w:val="24"/>
        </w:rPr>
        <w:t>NPE</w:t>
      </w:r>
      <w:r w:rsidRPr="00581351">
        <w:rPr>
          <w:rFonts w:cstheme="minorHAnsi"/>
          <w:color w:val="002060"/>
          <w:sz w:val="24"/>
          <w:szCs w:val="24"/>
        </w:rPr>
        <w:t>)</w:t>
      </w:r>
      <w:r w:rsidR="00372844" w:rsidRPr="00581351">
        <w:rPr>
          <w:rFonts w:cstheme="minorHAnsi"/>
          <w:color w:val="002060"/>
          <w:sz w:val="24"/>
          <w:szCs w:val="24"/>
        </w:rPr>
        <w:t xml:space="preserve"> </w:t>
      </w:r>
      <w:r w:rsidRPr="00581351">
        <w:rPr>
          <w:rFonts w:cstheme="minorHAnsi"/>
          <w:color w:val="002060"/>
          <w:sz w:val="24"/>
          <w:szCs w:val="24"/>
        </w:rPr>
        <w:t xml:space="preserve">item set </w:t>
      </w:r>
      <w:r w:rsidR="009969B2">
        <w:rPr>
          <w:rFonts w:cstheme="minorHAnsi"/>
          <w:color w:val="002060"/>
          <w:sz w:val="24"/>
          <w:szCs w:val="24"/>
        </w:rPr>
        <w:t>increased</w:t>
      </w:r>
      <w:r w:rsidR="00372844" w:rsidRPr="00581351">
        <w:rPr>
          <w:rFonts w:cstheme="minorHAnsi"/>
          <w:color w:val="002060"/>
          <w:sz w:val="24"/>
          <w:szCs w:val="24"/>
        </w:rPr>
        <w:t xml:space="preserve"> from 13 to 23 pages</w:t>
      </w:r>
      <w:r w:rsidRPr="00581351">
        <w:rPr>
          <w:rFonts w:cstheme="minorHAnsi"/>
          <w:color w:val="002060"/>
          <w:sz w:val="24"/>
          <w:szCs w:val="24"/>
        </w:rPr>
        <w:t>, a</w:t>
      </w:r>
      <w:r w:rsidR="00372844" w:rsidRPr="00581351">
        <w:rPr>
          <w:rFonts w:cstheme="minorHAnsi"/>
          <w:color w:val="002060"/>
          <w:sz w:val="24"/>
          <w:szCs w:val="24"/>
        </w:rPr>
        <w:t xml:space="preserve"> 76.9% increase</w:t>
      </w:r>
      <w:r w:rsidRPr="00581351">
        <w:rPr>
          <w:rFonts w:cstheme="minorHAnsi"/>
          <w:color w:val="002060"/>
          <w:sz w:val="24"/>
          <w:szCs w:val="24"/>
        </w:rPr>
        <w:t xml:space="preserve">.  The timing of interviews </w:t>
      </w:r>
      <w:r w:rsidR="00956E3B" w:rsidRPr="00581351">
        <w:rPr>
          <w:rFonts w:cstheme="minorHAnsi"/>
          <w:color w:val="002060"/>
          <w:sz w:val="24"/>
          <w:szCs w:val="24"/>
        </w:rPr>
        <w:t xml:space="preserve">that it includes </w:t>
      </w:r>
      <w:r w:rsidRPr="00581351">
        <w:rPr>
          <w:rFonts w:cstheme="minorHAnsi"/>
          <w:color w:val="002060"/>
          <w:sz w:val="24"/>
          <w:szCs w:val="24"/>
        </w:rPr>
        <w:t xml:space="preserve">such as the BIMS, </w:t>
      </w:r>
      <w:r w:rsidR="00372844" w:rsidRPr="00581351">
        <w:rPr>
          <w:rFonts w:cstheme="minorHAnsi"/>
          <w:color w:val="002060"/>
          <w:sz w:val="24"/>
          <w:szCs w:val="24"/>
        </w:rPr>
        <w:t xml:space="preserve">PHQ 2-9 Resident Mood Interview, </w:t>
      </w:r>
      <w:r w:rsidR="00956E3B" w:rsidRPr="00581351">
        <w:rPr>
          <w:rFonts w:cstheme="minorHAnsi"/>
          <w:color w:val="002060"/>
          <w:sz w:val="24"/>
          <w:szCs w:val="24"/>
        </w:rPr>
        <w:t xml:space="preserve">and </w:t>
      </w:r>
      <w:r w:rsidR="009D4AA3" w:rsidRPr="00581351">
        <w:rPr>
          <w:rFonts w:cstheme="minorHAnsi"/>
          <w:color w:val="002060"/>
          <w:sz w:val="24"/>
          <w:szCs w:val="24"/>
        </w:rPr>
        <w:t xml:space="preserve">the </w:t>
      </w:r>
      <w:r w:rsidR="00372844" w:rsidRPr="00581351">
        <w:rPr>
          <w:rFonts w:cstheme="minorHAnsi"/>
          <w:color w:val="002060"/>
          <w:sz w:val="24"/>
          <w:szCs w:val="24"/>
        </w:rPr>
        <w:t xml:space="preserve">Pain Assessment </w:t>
      </w:r>
      <w:r w:rsidR="009D4AA3" w:rsidRPr="00581351">
        <w:rPr>
          <w:rFonts w:cstheme="minorHAnsi"/>
          <w:color w:val="002060"/>
          <w:sz w:val="24"/>
          <w:szCs w:val="24"/>
        </w:rPr>
        <w:t>can be confusing</w:t>
      </w:r>
      <w:r w:rsidR="00956E3B" w:rsidRPr="00581351">
        <w:rPr>
          <w:rFonts w:cstheme="minorHAnsi"/>
          <w:color w:val="002060"/>
          <w:sz w:val="24"/>
          <w:szCs w:val="24"/>
        </w:rPr>
        <w:t>,</w:t>
      </w:r>
      <w:r w:rsidR="009D4AA3" w:rsidRPr="00581351">
        <w:rPr>
          <w:rFonts w:cstheme="minorHAnsi"/>
          <w:color w:val="002060"/>
          <w:sz w:val="24"/>
          <w:szCs w:val="24"/>
        </w:rPr>
        <w:t xml:space="preserve"> especially if there is an unplanned discharge.  These items count towards </w:t>
      </w:r>
      <w:r w:rsidR="00D16D30">
        <w:rPr>
          <w:rFonts w:cstheme="minorHAnsi"/>
          <w:color w:val="002060"/>
          <w:sz w:val="24"/>
          <w:szCs w:val="24"/>
        </w:rPr>
        <w:t xml:space="preserve">the </w:t>
      </w:r>
      <w:r w:rsidR="003212DF">
        <w:rPr>
          <w:rFonts w:cstheme="minorHAnsi"/>
          <w:color w:val="002060"/>
          <w:sz w:val="24"/>
          <w:szCs w:val="24"/>
        </w:rPr>
        <w:t xml:space="preserve">provider’s </w:t>
      </w:r>
      <w:r w:rsidR="003212DF" w:rsidRPr="00581351">
        <w:rPr>
          <w:rFonts w:cstheme="minorHAnsi"/>
          <w:color w:val="002060"/>
          <w:sz w:val="24"/>
          <w:szCs w:val="24"/>
        </w:rPr>
        <w:t>SNF</w:t>
      </w:r>
      <w:r w:rsidR="009D4AA3" w:rsidRPr="00581351">
        <w:rPr>
          <w:rFonts w:cstheme="minorHAnsi"/>
          <w:color w:val="002060"/>
          <w:sz w:val="24"/>
          <w:szCs w:val="24"/>
        </w:rPr>
        <w:t xml:space="preserve"> QRP </w:t>
      </w:r>
      <w:r w:rsidR="009969B2">
        <w:rPr>
          <w:rFonts w:cstheme="minorHAnsi"/>
          <w:color w:val="002060"/>
          <w:sz w:val="24"/>
          <w:szCs w:val="24"/>
        </w:rPr>
        <w:t>D</w:t>
      </w:r>
      <w:r w:rsidR="009D4AA3" w:rsidRPr="00581351">
        <w:rPr>
          <w:rFonts w:cstheme="minorHAnsi"/>
          <w:color w:val="002060"/>
          <w:sz w:val="24"/>
          <w:szCs w:val="24"/>
        </w:rPr>
        <w:t xml:space="preserve">ata completion threshold.  </w:t>
      </w:r>
    </w:p>
    <w:p w14:paraId="324B01E4" w14:textId="77777777" w:rsidR="009D4AA3" w:rsidRPr="00581351" w:rsidRDefault="009D4AA3" w:rsidP="009969B2">
      <w:pPr>
        <w:pStyle w:val="ListParagraph"/>
        <w:spacing w:after="0" w:line="240" w:lineRule="auto"/>
        <w:ind w:left="360"/>
        <w:rPr>
          <w:rFonts w:cstheme="minorHAnsi"/>
          <w:color w:val="002060"/>
          <w:sz w:val="24"/>
          <w:szCs w:val="24"/>
        </w:rPr>
      </w:pPr>
    </w:p>
    <w:p w14:paraId="7FC18AD5" w14:textId="6F7BEE5F" w:rsidR="00372844" w:rsidRPr="00581351" w:rsidRDefault="009D4AA3" w:rsidP="009969B2">
      <w:pPr>
        <w:pStyle w:val="ListParagraph"/>
        <w:spacing w:after="0" w:line="240" w:lineRule="auto"/>
        <w:ind w:left="360"/>
        <w:rPr>
          <w:rFonts w:cstheme="minorHAnsi"/>
          <w:color w:val="002060"/>
          <w:sz w:val="24"/>
          <w:szCs w:val="24"/>
        </w:rPr>
      </w:pPr>
      <w:r w:rsidRPr="00581351">
        <w:rPr>
          <w:rFonts w:cstheme="minorHAnsi"/>
          <w:color w:val="002060"/>
          <w:sz w:val="24"/>
          <w:szCs w:val="24"/>
        </w:rPr>
        <w:t xml:space="preserve">The new requirement in the MDS RAI Manual, chapter 2, page 2-44 changed the guidance about combining a PPS Discharge Assessment with an OBRA discharge assessment so that when the </w:t>
      </w:r>
      <w:r w:rsidR="009969B2">
        <w:rPr>
          <w:rFonts w:cstheme="minorHAnsi"/>
          <w:color w:val="002060"/>
          <w:sz w:val="24"/>
          <w:szCs w:val="24"/>
        </w:rPr>
        <w:t xml:space="preserve">Medicare </w:t>
      </w:r>
      <w:r w:rsidRPr="00581351">
        <w:rPr>
          <w:rFonts w:cstheme="minorHAnsi"/>
          <w:color w:val="002060"/>
          <w:sz w:val="24"/>
          <w:szCs w:val="24"/>
        </w:rPr>
        <w:t xml:space="preserve">Part A </w:t>
      </w:r>
      <w:r w:rsidR="009969B2">
        <w:rPr>
          <w:rFonts w:cstheme="minorHAnsi"/>
          <w:color w:val="002060"/>
          <w:sz w:val="24"/>
          <w:szCs w:val="24"/>
        </w:rPr>
        <w:t>S</w:t>
      </w:r>
      <w:r w:rsidRPr="00581351">
        <w:rPr>
          <w:rFonts w:cstheme="minorHAnsi"/>
          <w:color w:val="002060"/>
          <w:sz w:val="24"/>
          <w:szCs w:val="24"/>
        </w:rPr>
        <w:t xml:space="preserve">tay ends on the same day or the day before the day of discharge from the facility these assessments </w:t>
      </w:r>
      <w:r w:rsidRPr="00581351">
        <w:rPr>
          <w:rFonts w:cstheme="minorHAnsi"/>
          <w:color w:val="002060"/>
          <w:sz w:val="24"/>
          <w:szCs w:val="24"/>
          <w:u w:val="single"/>
        </w:rPr>
        <w:t>must</w:t>
      </w:r>
      <w:r w:rsidRPr="00581351">
        <w:rPr>
          <w:rFonts w:cstheme="minorHAnsi"/>
          <w:color w:val="002060"/>
          <w:sz w:val="24"/>
          <w:szCs w:val="24"/>
        </w:rPr>
        <w:t xml:space="preserve"> be combined.  As a result, the timing of </w:t>
      </w:r>
      <w:r w:rsidR="00956E3B" w:rsidRPr="00581351">
        <w:rPr>
          <w:rFonts w:cstheme="minorHAnsi"/>
          <w:color w:val="002060"/>
          <w:sz w:val="24"/>
          <w:szCs w:val="24"/>
        </w:rPr>
        <w:t>multiple</w:t>
      </w:r>
      <w:r w:rsidRPr="00581351">
        <w:rPr>
          <w:rFonts w:cstheme="minorHAnsi"/>
          <w:color w:val="002060"/>
          <w:sz w:val="24"/>
          <w:szCs w:val="24"/>
        </w:rPr>
        <w:t xml:space="preserve"> interviews</w:t>
      </w:r>
      <w:r w:rsidR="00956E3B" w:rsidRPr="00581351">
        <w:rPr>
          <w:rFonts w:cstheme="minorHAnsi"/>
          <w:color w:val="002060"/>
          <w:sz w:val="24"/>
          <w:szCs w:val="24"/>
        </w:rPr>
        <w:t xml:space="preserve"> including the SDOH items</w:t>
      </w:r>
      <w:r w:rsidR="00F668F3" w:rsidRPr="00581351">
        <w:rPr>
          <w:rFonts w:cstheme="minorHAnsi"/>
          <w:color w:val="002060"/>
          <w:sz w:val="24"/>
          <w:szCs w:val="24"/>
        </w:rPr>
        <w:t>,</w:t>
      </w:r>
      <w:r w:rsidRPr="00581351">
        <w:rPr>
          <w:rFonts w:cstheme="minorHAnsi"/>
          <w:color w:val="002060"/>
          <w:sz w:val="24"/>
          <w:szCs w:val="24"/>
        </w:rPr>
        <w:t xml:space="preserve"> </w:t>
      </w:r>
      <w:r w:rsidR="00956E3B" w:rsidRPr="00581351">
        <w:rPr>
          <w:rFonts w:cstheme="minorHAnsi"/>
          <w:color w:val="002060"/>
          <w:sz w:val="24"/>
          <w:szCs w:val="24"/>
        </w:rPr>
        <w:t>even</w:t>
      </w:r>
      <w:r w:rsidR="009213C2" w:rsidRPr="00581351">
        <w:rPr>
          <w:rFonts w:cstheme="minorHAnsi"/>
          <w:color w:val="002060"/>
          <w:sz w:val="24"/>
          <w:szCs w:val="24"/>
        </w:rPr>
        <w:t xml:space="preserve"> with an unplanned discharge</w:t>
      </w:r>
      <w:r w:rsidR="009969B2">
        <w:rPr>
          <w:rFonts w:cstheme="minorHAnsi"/>
          <w:color w:val="002060"/>
          <w:sz w:val="24"/>
          <w:szCs w:val="24"/>
        </w:rPr>
        <w:t>,</w:t>
      </w:r>
      <w:r w:rsidR="009213C2" w:rsidRPr="00581351">
        <w:rPr>
          <w:rFonts w:cstheme="minorHAnsi"/>
          <w:color w:val="002060"/>
          <w:sz w:val="24"/>
          <w:szCs w:val="24"/>
        </w:rPr>
        <w:t xml:space="preserve"> are critical given the SNF QRP data completion threshold.</w:t>
      </w:r>
    </w:p>
    <w:p w14:paraId="65C2D7B4" w14:textId="77777777" w:rsidR="009213C2" w:rsidRPr="00581351" w:rsidRDefault="009213C2" w:rsidP="009969B2">
      <w:pPr>
        <w:pStyle w:val="ListParagraph"/>
        <w:spacing w:after="0" w:line="240" w:lineRule="auto"/>
        <w:ind w:left="360"/>
        <w:rPr>
          <w:rFonts w:cstheme="minorHAnsi"/>
          <w:color w:val="002060"/>
          <w:sz w:val="24"/>
          <w:szCs w:val="24"/>
        </w:rPr>
      </w:pPr>
    </w:p>
    <w:p w14:paraId="56CF7B45" w14:textId="07659485" w:rsidR="0083390B" w:rsidRDefault="009213C2" w:rsidP="009969B2">
      <w:pPr>
        <w:pStyle w:val="ListParagraph"/>
        <w:spacing w:after="0" w:line="240" w:lineRule="auto"/>
        <w:ind w:left="360"/>
        <w:rPr>
          <w:rFonts w:cstheme="minorHAnsi"/>
          <w:color w:val="002060"/>
          <w:sz w:val="24"/>
          <w:szCs w:val="24"/>
        </w:rPr>
      </w:pPr>
      <w:r w:rsidRPr="00581351">
        <w:rPr>
          <w:rFonts w:cstheme="minorHAnsi"/>
          <w:color w:val="002060"/>
          <w:sz w:val="24"/>
          <w:szCs w:val="24"/>
        </w:rPr>
        <w:t xml:space="preserve">New NPE items improve discharge planning and </w:t>
      </w:r>
      <w:r w:rsidR="00E019DA" w:rsidRPr="00581351">
        <w:rPr>
          <w:rFonts w:cstheme="minorHAnsi"/>
          <w:color w:val="002060"/>
          <w:sz w:val="24"/>
          <w:szCs w:val="24"/>
        </w:rPr>
        <w:t xml:space="preserve">will be useful to </w:t>
      </w:r>
      <w:r w:rsidRPr="00581351">
        <w:rPr>
          <w:rFonts w:cstheme="minorHAnsi"/>
          <w:color w:val="002060"/>
          <w:sz w:val="24"/>
          <w:szCs w:val="24"/>
        </w:rPr>
        <w:t xml:space="preserve">ensure </w:t>
      </w:r>
      <w:r w:rsidR="009969B2">
        <w:rPr>
          <w:rFonts w:cstheme="minorHAnsi"/>
          <w:color w:val="002060"/>
          <w:sz w:val="24"/>
          <w:szCs w:val="24"/>
        </w:rPr>
        <w:t xml:space="preserve">attainment of the </w:t>
      </w:r>
      <w:r w:rsidRPr="00581351">
        <w:rPr>
          <w:rFonts w:cstheme="minorHAnsi"/>
          <w:color w:val="002060"/>
          <w:sz w:val="24"/>
          <w:szCs w:val="24"/>
        </w:rPr>
        <w:t>surveyor guidance for F-</w:t>
      </w:r>
      <w:r w:rsidR="00581351">
        <w:rPr>
          <w:rFonts w:cstheme="minorHAnsi"/>
          <w:color w:val="002060"/>
          <w:sz w:val="24"/>
          <w:szCs w:val="24"/>
        </w:rPr>
        <w:t>T</w:t>
      </w:r>
      <w:r w:rsidRPr="00581351">
        <w:rPr>
          <w:rFonts w:cstheme="minorHAnsi"/>
          <w:color w:val="002060"/>
          <w:sz w:val="24"/>
          <w:szCs w:val="24"/>
        </w:rPr>
        <w:t>ag 660 and F-</w:t>
      </w:r>
      <w:r w:rsidR="00581351">
        <w:rPr>
          <w:rFonts w:cstheme="minorHAnsi"/>
          <w:color w:val="002060"/>
          <w:sz w:val="24"/>
          <w:szCs w:val="24"/>
        </w:rPr>
        <w:t>T</w:t>
      </w:r>
      <w:r w:rsidRPr="00581351">
        <w:rPr>
          <w:rFonts w:cstheme="minorHAnsi"/>
          <w:color w:val="002060"/>
          <w:sz w:val="24"/>
          <w:szCs w:val="24"/>
        </w:rPr>
        <w:t>ag 661</w:t>
      </w:r>
      <w:r w:rsidR="009969B2">
        <w:rPr>
          <w:rFonts w:cstheme="minorHAnsi"/>
          <w:color w:val="002060"/>
          <w:sz w:val="24"/>
          <w:szCs w:val="24"/>
        </w:rPr>
        <w:t>.</w:t>
      </w:r>
    </w:p>
    <w:p w14:paraId="0949B364" w14:textId="77777777" w:rsidR="009969B2" w:rsidRPr="00581351" w:rsidRDefault="009969B2" w:rsidP="009969B2">
      <w:pPr>
        <w:pStyle w:val="ListParagraph"/>
        <w:spacing w:after="0" w:line="240" w:lineRule="auto"/>
        <w:ind w:left="360"/>
        <w:rPr>
          <w:rFonts w:cstheme="minorHAnsi"/>
          <w:color w:val="002060"/>
          <w:sz w:val="24"/>
          <w:szCs w:val="24"/>
        </w:rPr>
      </w:pPr>
    </w:p>
    <w:p w14:paraId="0CA2FBEF" w14:textId="6E1A5C9E" w:rsidR="009213C2" w:rsidRPr="00581351" w:rsidRDefault="0083390B" w:rsidP="009969B2">
      <w:pPr>
        <w:pStyle w:val="ListParagraph"/>
        <w:spacing w:after="0" w:line="240" w:lineRule="auto"/>
        <w:ind w:left="360"/>
        <w:rPr>
          <w:rFonts w:cstheme="minorHAnsi"/>
          <w:color w:val="002060"/>
          <w:sz w:val="24"/>
          <w:szCs w:val="24"/>
        </w:rPr>
      </w:pPr>
      <w:r w:rsidRPr="00581351">
        <w:rPr>
          <w:rFonts w:cstheme="minorHAnsi"/>
          <w:color w:val="002060"/>
          <w:sz w:val="24"/>
          <w:szCs w:val="24"/>
        </w:rPr>
        <w:t xml:space="preserve">The Discharge Function Score for SNFs that will be included in both the SNF </w:t>
      </w:r>
      <w:r w:rsidR="00936812" w:rsidRPr="00581351">
        <w:rPr>
          <w:rFonts w:cstheme="minorHAnsi"/>
          <w:color w:val="002060"/>
          <w:sz w:val="24"/>
          <w:szCs w:val="24"/>
        </w:rPr>
        <w:t>QRP,</w:t>
      </w:r>
      <w:r w:rsidRPr="00581351">
        <w:rPr>
          <w:rFonts w:cstheme="minorHAnsi"/>
          <w:color w:val="002060"/>
          <w:sz w:val="24"/>
          <w:szCs w:val="24"/>
        </w:rPr>
        <w:t xml:space="preserve"> and the Value</w:t>
      </w:r>
      <w:r w:rsidR="00581351">
        <w:rPr>
          <w:rFonts w:cstheme="minorHAnsi"/>
          <w:color w:val="002060"/>
          <w:sz w:val="24"/>
          <w:szCs w:val="24"/>
        </w:rPr>
        <w:t>-</w:t>
      </w:r>
      <w:r w:rsidRPr="00581351">
        <w:rPr>
          <w:rFonts w:cstheme="minorHAnsi"/>
          <w:color w:val="002060"/>
          <w:sz w:val="24"/>
          <w:szCs w:val="24"/>
        </w:rPr>
        <w:t xml:space="preserve">Based Purchase Program (VBP) has data collection starting October 1, </w:t>
      </w:r>
      <w:r w:rsidR="003212DF" w:rsidRPr="00581351">
        <w:rPr>
          <w:rFonts w:cstheme="minorHAnsi"/>
          <w:color w:val="002060"/>
          <w:sz w:val="24"/>
          <w:szCs w:val="24"/>
        </w:rPr>
        <w:t>2023,</w:t>
      </w:r>
      <w:r w:rsidRPr="00581351">
        <w:rPr>
          <w:rFonts w:cstheme="minorHAnsi"/>
          <w:color w:val="002060"/>
          <w:sz w:val="24"/>
          <w:szCs w:val="24"/>
        </w:rPr>
        <w:t xml:space="preserve"> and the Performance Year slated to begin October 1, 2024.  </w:t>
      </w:r>
      <w:r w:rsidR="009969B2">
        <w:rPr>
          <w:rFonts w:cstheme="minorHAnsi"/>
          <w:color w:val="002060"/>
          <w:sz w:val="24"/>
          <w:szCs w:val="24"/>
        </w:rPr>
        <w:t>Currently, t</w:t>
      </w:r>
      <w:r w:rsidRPr="00581351">
        <w:rPr>
          <w:rFonts w:cstheme="minorHAnsi"/>
          <w:color w:val="002060"/>
          <w:sz w:val="24"/>
          <w:szCs w:val="24"/>
        </w:rPr>
        <w:t>his doe</w:t>
      </w:r>
      <w:r w:rsidR="009969B2">
        <w:rPr>
          <w:rFonts w:cstheme="minorHAnsi"/>
          <w:color w:val="002060"/>
          <w:sz w:val="24"/>
          <w:szCs w:val="24"/>
        </w:rPr>
        <w:t xml:space="preserve">s not </w:t>
      </w:r>
      <w:r w:rsidRPr="00581351">
        <w:rPr>
          <w:rFonts w:cstheme="minorHAnsi"/>
          <w:color w:val="002060"/>
          <w:sz w:val="24"/>
          <w:szCs w:val="24"/>
        </w:rPr>
        <w:t>impact reimbursemen</w:t>
      </w:r>
      <w:r w:rsidR="00EA038E" w:rsidRPr="00581351">
        <w:rPr>
          <w:rFonts w:cstheme="minorHAnsi"/>
          <w:color w:val="002060"/>
          <w:sz w:val="24"/>
          <w:szCs w:val="24"/>
        </w:rPr>
        <w:t>,</w:t>
      </w:r>
      <w:r w:rsidR="00350444" w:rsidRPr="00581351">
        <w:rPr>
          <w:rFonts w:cstheme="minorHAnsi"/>
          <w:color w:val="002060"/>
          <w:sz w:val="24"/>
          <w:szCs w:val="24"/>
        </w:rPr>
        <w:t xml:space="preserve"> </w:t>
      </w:r>
      <w:r w:rsidRPr="00581351">
        <w:rPr>
          <w:rFonts w:cstheme="minorHAnsi"/>
          <w:color w:val="002060"/>
          <w:sz w:val="24"/>
          <w:szCs w:val="24"/>
        </w:rPr>
        <w:t>but MDS accuracy will make a difference when it does.</w:t>
      </w:r>
    </w:p>
    <w:p w14:paraId="6DA49415" w14:textId="77777777" w:rsidR="00394C6F" w:rsidRPr="00581351" w:rsidRDefault="00394C6F" w:rsidP="009969B2">
      <w:pPr>
        <w:pStyle w:val="ListParagraph"/>
        <w:spacing w:after="0" w:line="240" w:lineRule="auto"/>
        <w:ind w:left="360"/>
        <w:rPr>
          <w:rFonts w:cstheme="minorHAnsi"/>
          <w:color w:val="002060"/>
          <w:sz w:val="24"/>
          <w:szCs w:val="24"/>
        </w:rPr>
      </w:pPr>
    </w:p>
    <w:p w14:paraId="503FDF47" w14:textId="57FD671C" w:rsidR="009213C2" w:rsidRPr="00581351" w:rsidRDefault="00F33A43" w:rsidP="009969B2">
      <w:pPr>
        <w:pStyle w:val="ListParagraph"/>
        <w:numPr>
          <w:ilvl w:val="0"/>
          <w:numId w:val="1"/>
        </w:numPr>
        <w:spacing w:after="0" w:line="240" w:lineRule="auto"/>
        <w:ind w:left="360"/>
        <w:rPr>
          <w:rFonts w:cstheme="minorHAnsi"/>
          <w:b/>
          <w:bCs/>
          <w:color w:val="002060"/>
          <w:sz w:val="24"/>
          <w:szCs w:val="24"/>
        </w:rPr>
      </w:pPr>
      <w:r w:rsidRPr="00581351">
        <w:rPr>
          <w:rFonts w:cstheme="minorHAnsi"/>
          <w:b/>
          <w:bCs/>
          <w:color w:val="002060"/>
          <w:sz w:val="24"/>
          <w:szCs w:val="24"/>
        </w:rPr>
        <w:t>Resident Mood</w:t>
      </w:r>
      <w:r w:rsidR="009213C2" w:rsidRPr="00581351">
        <w:rPr>
          <w:rFonts w:cstheme="minorHAnsi"/>
          <w:b/>
          <w:bCs/>
          <w:color w:val="002060"/>
          <w:sz w:val="24"/>
          <w:szCs w:val="24"/>
        </w:rPr>
        <w:t xml:space="preserve"> – PHQ 2-9</w:t>
      </w:r>
      <w:r w:rsidR="005D4EFE">
        <w:rPr>
          <w:rFonts w:cstheme="minorHAnsi"/>
          <w:b/>
          <w:bCs/>
          <w:color w:val="002060"/>
          <w:sz w:val="24"/>
          <w:szCs w:val="24"/>
        </w:rPr>
        <w:t>: Section D</w:t>
      </w:r>
    </w:p>
    <w:p w14:paraId="61D34B9E" w14:textId="3FE54613" w:rsidR="009213C2" w:rsidRPr="00581351" w:rsidRDefault="009213C2" w:rsidP="009969B2">
      <w:pPr>
        <w:pStyle w:val="ListParagraph"/>
        <w:spacing w:after="0" w:line="240" w:lineRule="auto"/>
        <w:ind w:left="360"/>
        <w:rPr>
          <w:rFonts w:cstheme="minorHAnsi"/>
          <w:color w:val="002060"/>
          <w:sz w:val="24"/>
          <w:szCs w:val="24"/>
        </w:rPr>
      </w:pPr>
    </w:p>
    <w:p w14:paraId="522CAD4C" w14:textId="77777777" w:rsidR="004041B2" w:rsidRPr="00581351" w:rsidRDefault="0083390B" w:rsidP="009969B2">
      <w:pPr>
        <w:pStyle w:val="ListParagraph"/>
        <w:spacing w:after="0" w:line="240" w:lineRule="auto"/>
        <w:ind w:left="360"/>
        <w:rPr>
          <w:rFonts w:cstheme="minorHAnsi"/>
          <w:color w:val="002060"/>
          <w:sz w:val="24"/>
          <w:szCs w:val="24"/>
        </w:rPr>
      </w:pPr>
      <w:r w:rsidRPr="00581351">
        <w:rPr>
          <w:rFonts w:cstheme="minorHAnsi"/>
          <w:color w:val="002060"/>
          <w:sz w:val="24"/>
          <w:szCs w:val="24"/>
        </w:rPr>
        <w:t xml:space="preserve">The </w:t>
      </w:r>
      <w:r w:rsidR="00240BBB" w:rsidRPr="00581351">
        <w:rPr>
          <w:rFonts w:cstheme="minorHAnsi"/>
          <w:color w:val="002060"/>
          <w:sz w:val="24"/>
          <w:szCs w:val="24"/>
        </w:rPr>
        <w:t>transition in MDS Section D</w:t>
      </w:r>
      <w:r w:rsidR="00CB687C" w:rsidRPr="00581351">
        <w:rPr>
          <w:rFonts w:cstheme="minorHAnsi"/>
          <w:color w:val="002060"/>
          <w:sz w:val="24"/>
          <w:szCs w:val="24"/>
        </w:rPr>
        <w:t xml:space="preserve"> from the PHQ</w:t>
      </w:r>
      <w:r w:rsidR="00240BBB" w:rsidRPr="00581351">
        <w:rPr>
          <w:rFonts w:cstheme="minorHAnsi"/>
          <w:color w:val="002060"/>
          <w:sz w:val="24"/>
          <w:szCs w:val="24"/>
        </w:rPr>
        <w:t>-</w:t>
      </w:r>
      <w:r w:rsidR="00CB687C" w:rsidRPr="00581351">
        <w:rPr>
          <w:rFonts w:cstheme="minorHAnsi"/>
          <w:color w:val="002060"/>
          <w:sz w:val="24"/>
          <w:szCs w:val="24"/>
        </w:rPr>
        <w:t>9 to the PHQ</w:t>
      </w:r>
      <w:r w:rsidR="00240BBB" w:rsidRPr="00581351">
        <w:rPr>
          <w:rFonts w:cstheme="minorHAnsi"/>
          <w:color w:val="002060"/>
          <w:sz w:val="24"/>
          <w:szCs w:val="24"/>
        </w:rPr>
        <w:t>-</w:t>
      </w:r>
      <w:r w:rsidR="00CB687C" w:rsidRPr="00581351">
        <w:rPr>
          <w:rFonts w:cstheme="minorHAnsi"/>
          <w:color w:val="002060"/>
          <w:sz w:val="24"/>
          <w:szCs w:val="24"/>
        </w:rPr>
        <w:t xml:space="preserve">2-9 </w:t>
      </w:r>
      <w:r w:rsidR="0087724F" w:rsidRPr="00581351">
        <w:rPr>
          <w:rFonts w:cstheme="minorHAnsi"/>
          <w:color w:val="002060"/>
          <w:sz w:val="24"/>
          <w:szCs w:val="24"/>
        </w:rPr>
        <w:t xml:space="preserve">to assess </w:t>
      </w:r>
      <w:r w:rsidR="00240BBB" w:rsidRPr="00581351">
        <w:rPr>
          <w:rFonts w:cstheme="minorHAnsi"/>
          <w:color w:val="002060"/>
          <w:sz w:val="24"/>
          <w:szCs w:val="24"/>
        </w:rPr>
        <w:t>resident’s mood</w:t>
      </w:r>
      <w:r w:rsidR="00F254B7" w:rsidRPr="00581351">
        <w:rPr>
          <w:rFonts w:cstheme="minorHAnsi"/>
          <w:color w:val="002060"/>
          <w:sz w:val="24"/>
          <w:szCs w:val="24"/>
        </w:rPr>
        <w:t xml:space="preserve"> </w:t>
      </w:r>
      <w:r w:rsidR="0003130B" w:rsidRPr="00581351">
        <w:rPr>
          <w:rFonts w:cstheme="minorHAnsi"/>
          <w:color w:val="002060"/>
          <w:sz w:val="24"/>
          <w:szCs w:val="24"/>
        </w:rPr>
        <w:t xml:space="preserve">(conducted </w:t>
      </w:r>
      <w:r w:rsidR="00F254B7" w:rsidRPr="00581351">
        <w:rPr>
          <w:rFonts w:cstheme="minorHAnsi"/>
          <w:color w:val="002060"/>
          <w:sz w:val="24"/>
          <w:szCs w:val="24"/>
        </w:rPr>
        <w:t>during the ARD 7-day look-back period</w:t>
      </w:r>
      <w:r w:rsidR="0003130B" w:rsidRPr="00581351">
        <w:rPr>
          <w:rFonts w:cstheme="minorHAnsi"/>
          <w:color w:val="002060"/>
          <w:sz w:val="24"/>
          <w:szCs w:val="24"/>
        </w:rPr>
        <w:t>)</w:t>
      </w:r>
      <w:r w:rsidR="00240BBB" w:rsidRPr="00581351">
        <w:rPr>
          <w:rFonts w:cstheme="minorHAnsi"/>
          <w:color w:val="002060"/>
          <w:sz w:val="24"/>
          <w:szCs w:val="24"/>
        </w:rPr>
        <w:t xml:space="preserve"> </w:t>
      </w:r>
      <w:r w:rsidR="0003130B" w:rsidRPr="00581351">
        <w:rPr>
          <w:rFonts w:cstheme="minorHAnsi"/>
          <w:color w:val="002060"/>
          <w:sz w:val="24"/>
          <w:szCs w:val="24"/>
        </w:rPr>
        <w:t>can be a shorter interview with a skip pattern depending on how the first two questions are answered.</w:t>
      </w:r>
      <w:r w:rsidR="007C6E7F" w:rsidRPr="00581351">
        <w:rPr>
          <w:rFonts w:cstheme="minorHAnsi"/>
          <w:color w:val="002060"/>
          <w:sz w:val="24"/>
          <w:szCs w:val="24"/>
        </w:rPr>
        <w:t xml:space="preserve">  T</w:t>
      </w:r>
      <w:r w:rsidR="00240BBB" w:rsidRPr="00581351">
        <w:rPr>
          <w:rFonts w:cstheme="minorHAnsi"/>
          <w:color w:val="002060"/>
          <w:sz w:val="24"/>
          <w:szCs w:val="24"/>
        </w:rPr>
        <w:t>h</w:t>
      </w:r>
      <w:r w:rsidR="007C6E7F" w:rsidRPr="00581351">
        <w:rPr>
          <w:rFonts w:cstheme="minorHAnsi"/>
          <w:color w:val="002060"/>
          <w:sz w:val="24"/>
          <w:szCs w:val="24"/>
        </w:rPr>
        <w:t>e PHQ-2-9 and the</w:t>
      </w:r>
      <w:r w:rsidR="00240BBB" w:rsidRPr="00581351">
        <w:rPr>
          <w:rFonts w:cstheme="minorHAnsi"/>
          <w:color w:val="002060"/>
          <w:sz w:val="24"/>
          <w:szCs w:val="24"/>
        </w:rPr>
        <w:t xml:space="preserve"> RAI Manual change regarding when a staff interview </w:t>
      </w:r>
      <w:r w:rsidR="004041B2" w:rsidRPr="00581351">
        <w:rPr>
          <w:rFonts w:cstheme="minorHAnsi"/>
          <w:color w:val="002060"/>
          <w:sz w:val="24"/>
          <w:szCs w:val="24"/>
        </w:rPr>
        <w:t xml:space="preserve">can be </w:t>
      </w:r>
      <w:r w:rsidR="00240BBB" w:rsidRPr="00581351">
        <w:rPr>
          <w:rFonts w:cstheme="minorHAnsi"/>
          <w:color w:val="002060"/>
          <w:sz w:val="24"/>
          <w:szCs w:val="24"/>
        </w:rPr>
        <w:t>conducted</w:t>
      </w:r>
      <w:r w:rsidR="007C6E7F" w:rsidRPr="00581351">
        <w:rPr>
          <w:rFonts w:cstheme="minorHAnsi"/>
          <w:color w:val="002060"/>
          <w:sz w:val="24"/>
          <w:szCs w:val="24"/>
        </w:rPr>
        <w:t>,</w:t>
      </w:r>
      <w:r w:rsidR="00240BBB" w:rsidRPr="00581351">
        <w:rPr>
          <w:rFonts w:cstheme="minorHAnsi"/>
          <w:color w:val="002060"/>
          <w:sz w:val="24"/>
          <w:szCs w:val="24"/>
        </w:rPr>
        <w:t xml:space="preserve"> may cause a decline in MDS’ with a depression end-split.  It </w:t>
      </w:r>
      <w:r w:rsidR="007C6E7F" w:rsidRPr="00581351">
        <w:rPr>
          <w:rFonts w:cstheme="minorHAnsi"/>
          <w:color w:val="002060"/>
          <w:sz w:val="24"/>
          <w:szCs w:val="24"/>
        </w:rPr>
        <w:t>does</w:t>
      </w:r>
      <w:r w:rsidR="00240BBB" w:rsidRPr="00581351">
        <w:rPr>
          <w:rFonts w:cstheme="minorHAnsi"/>
          <w:color w:val="002060"/>
          <w:sz w:val="24"/>
          <w:szCs w:val="24"/>
        </w:rPr>
        <w:t xml:space="preserve"> not </w:t>
      </w:r>
      <w:r w:rsidR="007C6E7F" w:rsidRPr="00581351">
        <w:rPr>
          <w:rFonts w:cstheme="minorHAnsi"/>
          <w:color w:val="002060"/>
          <w:sz w:val="24"/>
          <w:szCs w:val="24"/>
        </w:rPr>
        <w:t xml:space="preserve">necessarily </w:t>
      </w:r>
      <w:r w:rsidR="00240BBB" w:rsidRPr="00581351">
        <w:rPr>
          <w:rFonts w:cstheme="minorHAnsi"/>
          <w:color w:val="002060"/>
          <w:sz w:val="24"/>
          <w:szCs w:val="24"/>
        </w:rPr>
        <w:t>change the quality measure and should not impact the need for comprehensive interdisciplinary care planning</w:t>
      </w:r>
      <w:r w:rsidR="0003130B" w:rsidRPr="00581351">
        <w:rPr>
          <w:rFonts w:cstheme="minorHAnsi"/>
          <w:color w:val="002060"/>
          <w:sz w:val="24"/>
          <w:szCs w:val="24"/>
        </w:rPr>
        <w:t xml:space="preserve"> </w:t>
      </w:r>
      <w:r w:rsidR="007C6E7F" w:rsidRPr="00581351">
        <w:rPr>
          <w:rFonts w:cstheme="minorHAnsi"/>
          <w:color w:val="002060"/>
          <w:sz w:val="24"/>
          <w:szCs w:val="24"/>
        </w:rPr>
        <w:t>or</w:t>
      </w:r>
      <w:r w:rsidR="0003130B" w:rsidRPr="00581351">
        <w:rPr>
          <w:rFonts w:cstheme="minorHAnsi"/>
          <w:color w:val="002060"/>
          <w:sz w:val="24"/>
          <w:szCs w:val="24"/>
        </w:rPr>
        <w:t xml:space="preserve"> looking for any significant changes</w:t>
      </w:r>
      <w:r w:rsidR="007C6E7F" w:rsidRPr="00581351">
        <w:rPr>
          <w:rFonts w:cstheme="minorHAnsi"/>
          <w:color w:val="002060"/>
          <w:sz w:val="24"/>
          <w:szCs w:val="24"/>
        </w:rPr>
        <w:t xml:space="preserve"> in the resident’s mood</w:t>
      </w:r>
      <w:r w:rsidR="00240BBB" w:rsidRPr="00581351">
        <w:rPr>
          <w:rFonts w:cstheme="minorHAnsi"/>
          <w:color w:val="002060"/>
          <w:sz w:val="24"/>
          <w:szCs w:val="24"/>
        </w:rPr>
        <w:t xml:space="preserve">.  </w:t>
      </w:r>
    </w:p>
    <w:p w14:paraId="1FD84AAD" w14:textId="77777777" w:rsidR="004041B2" w:rsidRPr="00581351" w:rsidRDefault="004041B2" w:rsidP="009969B2">
      <w:pPr>
        <w:pStyle w:val="ListParagraph"/>
        <w:spacing w:after="0" w:line="240" w:lineRule="auto"/>
        <w:ind w:left="360"/>
        <w:rPr>
          <w:rFonts w:cstheme="minorHAnsi"/>
          <w:color w:val="002060"/>
          <w:sz w:val="24"/>
          <w:szCs w:val="24"/>
        </w:rPr>
      </w:pPr>
    </w:p>
    <w:p w14:paraId="6C31BF85" w14:textId="144D66AD" w:rsidR="00CB687C" w:rsidRPr="00581351" w:rsidRDefault="00240BBB" w:rsidP="009969B2">
      <w:pPr>
        <w:pStyle w:val="ListParagraph"/>
        <w:spacing w:after="0" w:line="240" w:lineRule="auto"/>
        <w:ind w:left="360"/>
        <w:rPr>
          <w:rFonts w:cstheme="minorHAnsi"/>
          <w:color w:val="002060"/>
          <w:sz w:val="24"/>
          <w:szCs w:val="24"/>
        </w:rPr>
      </w:pPr>
      <w:r w:rsidRPr="00581351">
        <w:rPr>
          <w:rFonts w:cstheme="minorHAnsi"/>
          <w:color w:val="002060"/>
          <w:sz w:val="24"/>
          <w:szCs w:val="24"/>
        </w:rPr>
        <w:t xml:space="preserve">Monitoring </w:t>
      </w:r>
      <w:r w:rsidR="004041B2" w:rsidRPr="00581351">
        <w:rPr>
          <w:rFonts w:cstheme="minorHAnsi"/>
          <w:color w:val="002060"/>
          <w:sz w:val="24"/>
          <w:szCs w:val="24"/>
        </w:rPr>
        <w:t xml:space="preserve">the </w:t>
      </w:r>
      <w:r w:rsidRPr="00581351">
        <w:rPr>
          <w:rFonts w:cstheme="minorHAnsi"/>
          <w:color w:val="002060"/>
          <w:sz w:val="24"/>
          <w:szCs w:val="24"/>
        </w:rPr>
        <w:t>PHQ-2-9 scores, providing additional training</w:t>
      </w:r>
      <w:r w:rsidR="00F254B7" w:rsidRPr="00581351">
        <w:rPr>
          <w:rFonts w:cstheme="minorHAnsi"/>
          <w:color w:val="002060"/>
          <w:sz w:val="24"/>
          <w:szCs w:val="24"/>
        </w:rPr>
        <w:t xml:space="preserve"> on the interview process and th</w:t>
      </w:r>
      <w:r w:rsidR="0003130B" w:rsidRPr="00581351">
        <w:rPr>
          <w:rFonts w:cstheme="minorHAnsi"/>
          <w:color w:val="002060"/>
          <w:sz w:val="24"/>
          <w:szCs w:val="24"/>
        </w:rPr>
        <w:t>e PHQ-2-9</w:t>
      </w:r>
      <w:r w:rsidR="00F254B7" w:rsidRPr="00581351">
        <w:rPr>
          <w:rFonts w:cstheme="minorHAnsi"/>
          <w:color w:val="002060"/>
          <w:sz w:val="24"/>
          <w:szCs w:val="24"/>
        </w:rPr>
        <w:t xml:space="preserve"> assessment</w:t>
      </w:r>
      <w:r w:rsidR="007C6E7F" w:rsidRPr="00581351">
        <w:rPr>
          <w:rFonts w:cstheme="minorHAnsi"/>
          <w:color w:val="002060"/>
          <w:sz w:val="24"/>
          <w:szCs w:val="24"/>
        </w:rPr>
        <w:t>, and</w:t>
      </w:r>
      <w:r w:rsidR="004041B2" w:rsidRPr="00581351">
        <w:rPr>
          <w:rFonts w:cstheme="minorHAnsi"/>
          <w:color w:val="002060"/>
          <w:sz w:val="24"/>
          <w:szCs w:val="24"/>
        </w:rPr>
        <w:t xml:space="preserve"> </w:t>
      </w:r>
      <w:r w:rsidR="007C6E7F" w:rsidRPr="00581351">
        <w:rPr>
          <w:rFonts w:cstheme="minorHAnsi"/>
          <w:color w:val="002060"/>
          <w:sz w:val="24"/>
          <w:szCs w:val="24"/>
        </w:rPr>
        <w:t xml:space="preserve">enhancing </w:t>
      </w:r>
      <w:r w:rsidR="005D4EFE">
        <w:rPr>
          <w:rFonts w:cstheme="minorHAnsi"/>
          <w:color w:val="002060"/>
          <w:sz w:val="24"/>
          <w:szCs w:val="24"/>
        </w:rPr>
        <w:t xml:space="preserve">the </w:t>
      </w:r>
      <w:r w:rsidR="007C6E7F" w:rsidRPr="00581351">
        <w:rPr>
          <w:rFonts w:cstheme="minorHAnsi"/>
          <w:color w:val="002060"/>
          <w:sz w:val="24"/>
          <w:szCs w:val="24"/>
        </w:rPr>
        <w:t>care planning</w:t>
      </w:r>
      <w:r w:rsidR="0003130B" w:rsidRPr="00581351">
        <w:rPr>
          <w:rFonts w:cstheme="minorHAnsi"/>
          <w:color w:val="002060"/>
          <w:sz w:val="24"/>
          <w:szCs w:val="24"/>
        </w:rPr>
        <w:t xml:space="preserve"> </w:t>
      </w:r>
      <w:r w:rsidR="005D4EFE">
        <w:rPr>
          <w:rFonts w:cstheme="minorHAnsi"/>
          <w:color w:val="002060"/>
          <w:sz w:val="24"/>
          <w:szCs w:val="24"/>
        </w:rPr>
        <w:t xml:space="preserve">process </w:t>
      </w:r>
      <w:r w:rsidR="004041B2" w:rsidRPr="00581351">
        <w:rPr>
          <w:rFonts w:cstheme="minorHAnsi"/>
          <w:color w:val="002060"/>
          <w:sz w:val="24"/>
          <w:szCs w:val="24"/>
        </w:rPr>
        <w:t xml:space="preserve">will </w:t>
      </w:r>
      <w:r w:rsidR="007C6E7F" w:rsidRPr="00581351">
        <w:rPr>
          <w:rFonts w:cstheme="minorHAnsi"/>
          <w:color w:val="002060"/>
          <w:sz w:val="24"/>
          <w:szCs w:val="24"/>
        </w:rPr>
        <w:t>assist with providing quality care, survey outcomes, and reimbursement.</w:t>
      </w:r>
      <w:r w:rsidR="0003130B" w:rsidRPr="00581351">
        <w:rPr>
          <w:rFonts w:cstheme="minorHAnsi"/>
          <w:color w:val="002060"/>
          <w:sz w:val="24"/>
          <w:szCs w:val="24"/>
        </w:rPr>
        <w:t xml:space="preserve"> </w:t>
      </w:r>
    </w:p>
    <w:p w14:paraId="54A0749E" w14:textId="77777777" w:rsidR="00394C6F" w:rsidRPr="00581351" w:rsidRDefault="00394C6F" w:rsidP="009969B2">
      <w:pPr>
        <w:pStyle w:val="ListParagraph"/>
        <w:spacing w:after="0" w:line="240" w:lineRule="auto"/>
        <w:ind w:left="360"/>
        <w:rPr>
          <w:rFonts w:cstheme="minorHAnsi"/>
          <w:color w:val="002060"/>
          <w:sz w:val="24"/>
          <w:szCs w:val="24"/>
        </w:rPr>
      </w:pPr>
    </w:p>
    <w:p w14:paraId="4BD1AF01" w14:textId="59BE180C" w:rsidR="00B62023" w:rsidRPr="00581351" w:rsidRDefault="00332A30" w:rsidP="009969B2">
      <w:pPr>
        <w:pStyle w:val="ListParagraph"/>
        <w:numPr>
          <w:ilvl w:val="0"/>
          <w:numId w:val="1"/>
        </w:numPr>
        <w:spacing w:after="0" w:line="240" w:lineRule="auto"/>
        <w:ind w:left="360"/>
        <w:rPr>
          <w:rFonts w:cstheme="minorHAnsi"/>
          <w:b/>
          <w:bCs/>
          <w:color w:val="002060"/>
          <w:sz w:val="24"/>
          <w:szCs w:val="24"/>
        </w:rPr>
      </w:pPr>
      <w:r w:rsidRPr="00581351">
        <w:rPr>
          <w:rFonts w:cstheme="minorHAnsi"/>
          <w:b/>
          <w:bCs/>
          <w:color w:val="002060"/>
          <w:sz w:val="24"/>
          <w:szCs w:val="24"/>
        </w:rPr>
        <w:lastRenderedPageBreak/>
        <w:t xml:space="preserve">ICD-10 </w:t>
      </w:r>
      <w:r w:rsidR="000363D9" w:rsidRPr="00581351">
        <w:rPr>
          <w:rFonts w:cstheme="minorHAnsi"/>
          <w:b/>
          <w:bCs/>
          <w:color w:val="002060"/>
          <w:sz w:val="24"/>
          <w:szCs w:val="24"/>
        </w:rPr>
        <w:t>Coding</w:t>
      </w:r>
    </w:p>
    <w:p w14:paraId="19A483FA" w14:textId="5886894D" w:rsidR="009969B2" w:rsidRPr="00EC5DD9" w:rsidRDefault="009969B2" w:rsidP="00EC5DD9">
      <w:pPr>
        <w:spacing w:after="0" w:line="240" w:lineRule="auto"/>
        <w:rPr>
          <w:rFonts w:cstheme="minorHAnsi"/>
          <w:color w:val="002060"/>
          <w:sz w:val="24"/>
          <w:szCs w:val="24"/>
        </w:rPr>
      </w:pPr>
    </w:p>
    <w:p w14:paraId="5767D992" w14:textId="6AB3E0D0" w:rsidR="009969B2" w:rsidRDefault="009969B2" w:rsidP="009969B2">
      <w:pPr>
        <w:pStyle w:val="ListParagraph"/>
        <w:spacing w:after="0" w:line="240" w:lineRule="auto"/>
        <w:ind w:left="360"/>
        <w:rPr>
          <w:rFonts w:cstheme="minorHAnsi"/>
          <w:color w:val="002060"/>
          <w:sz w:val="24"/>
          <w:szCs w:val="24"/>
        </w:rPr>
      </w:pPr>
      <w:r w:rsidRPr="009969B2">
        <w:rPr>
          <w:rFonts w:cstheme="minorHAnsi"/>
          <w:color w:val="002060"/>
          <w:sz w:val="24"/>
          <w:szCs w:val="24"/>
        </w:rPr>
        <w:t>The new updates to the ICD-10-CM code system for fiscal year 2024 include 395 new billable codes in areas such as external causes of morbidity, social determinants of health (SDOH), and osteoporosis.</w:t>
      </w:r>
    </w:p>
    <w:p w14:paraId="39333268" w14:textId="77777777" w:rsidR="009969B2" w:rsidRPr="009969B2" w:rsidRDefault="009969B2" w:rsidP="009969B2">
      <w:pPr>
        <w:pStyle w:val="ListParagraph"/>
        <w:spacing w:after="0" w:line="240" w:lineRule="auto"/>
        <w:ind w:left="360"/>
        <w:rPr>
          <w:rFonts w:cstheme="minorHAnsi"/>
          <w:color w:val="002060"/>
          <w:sz w:val="24"/>
          <w:szCs w:val="24"/>
        </w:rPr>
      </w:pPr>
    </w:p>
    <w:p w14:paraId="4568AE04" w14:textId="365C3474" w:rsidR="009969B2" w:rsidRDefault="004E5F9F" w:rsidP="009969B2">
      <w:pPr>
        <w:pStyle w:val="ListParagraph"/>
        <w:spacing w:after="0" w:line="240" w:lineRule="auto"/>
        <w:ind w:left="360"/>
        <w:rPr>
          <w:rFonts w:cstheme="minorHAnsi"/>
          <w:color w:val="002060"/>
          <w:sz w:val="24"/>
          <w:szCs w:val="24"/>
        </w:rPr>
      </w:pPr>
      <w:r w:rsidRPr="00581351">
        <w:rPr>
          <w:rFonts w:cstheme="minorHAnsi"/>
          <w:color w:val="002060"/>
          <w:sz w:val="24"/>
          <w:szCs w:val="24"/>
        </w:rPr>
        <w:t>Understanding t</w:t>
      </w:r>
      <w:r w:rsidR="00AD3680" w:rsidRPr="00581351">
        <w:rPr>
          <w:rFonts w:cstheme="minorHAnsi"/>
          <w:color w:val="002060"/>
          <w:sz w:val="24"/>
          <w:szCs w:val="24"/>
        </w:rPr>
        <w:t xml:space="preserve">he ICD-10 </w:t>
      </w:r>
      <w:r w:rsidR="009969B2">
        <w:rPr>
          <w:rFonts w:cstheme="minorHAnsi"/>
          <w:color w:val="002060"/>
          <w:sz w:val="24"/>
          <w:szCs w:val="24"/>
        </w:rPr>
        <w:t>C</w:t>
      </w:r>
      <w:r w:rsidR="00AD3680" w:rsidRPr="00581351">
        <w:rPr>
          <w:rFonts w:cstheme="minorHAnsi"/>
          <w:color w:val="002060"/>
          <w:sz w:val="24"/>
          <w:szCs w:val="24"/>
        </w:rPr>
        <w:t>ode changes</w:t>
      </w:r>
      <w:r w:rsidR="00E019DA" w:rsidRPr="00581351">
        <w:rPr>
          <w:rFonts w:cstheme="minorHAnsi"/>
          <w:color w:val="002060"/>
          <w:sz w:val="24"/>
          <w:szCs w:val="24"/>
        </w:rPr>
        <w:t xml:space="preserve"> for FY 2024</w:t>
      </w:r>
      <w:r w:rsidR="00AD3680" w:rsidRPr="00581351">
        <w:rPr>
          <w:rFonts w:cstheme="minorHAnsi"/>
          <w:color w:val="002060"/>
          <w:sz w:val="24"/>
          <w:szCs w:val="24"/>
        </w:rPr>
        <w:t xml:space="preserve"> and the </w:t>
      </w:r>
      <w:r w:rsidRPr="009969B2">
        <w:rPr>
          <w:rFonts w:cstheme="minorHAnsi"/>
          <w:color w:val="002060"/>
          <w:sz w:val="24"/>
          <w:szCs w:val="24"/>
        </w:rPr>
        <w:t xml:space="preserve">updates to the </w:t>
      </w:r>
      <w:r w:rsidR="00AD3680" w:rsidRPr="009969B2">
        <w:rPr>
          <w:rFonts w:cstheme="minorHAnsi"/>
          <w:color w:val="002060"/>
          <w:sz w:val="24"/>
          <w:szCs w:val="24"/>
        </w:rPr>
        <w:t>ICD-1</w:t>
      </w:r>
      <w:r w:rsidR="009969B2" w:rsidRPr="009969B2">
        <w:rPr>
          <w:rFonts w:cstheme="minorHAnsi"/>
          <w:color w:val="002060"/>
          <w:sz w:val="24"/>
          <w:szCs w:val="24"/>
        </w:rPr>
        <w:t>0</w:t>
      </w:r>
      <w:r w:rsidR="00AD3680" w:rsidRPr="009969B2">
        <w:rPr>
          <w:rFonts w:cstheme="minorHAnsi"/>
          <w:color w:val="002060"/>
          <w:sz w:val="24"/>
          <w:szCs w:val="24"/>
        </w:rPr>
        <w:t xml:space="preserve"> Mapping File </w:t>
      </w:r>
      <w:r w:rsidR="009969B2" w:rsidRPr="009969B2">
        <w:rPr>
          <w:rFonts w:cstheme="minorHAnsi"/>
          <w:color w:val="002060"/>
          <w:sz w:val="24"/>
          <w:szCs w:val="24"/>
        </w:rPr>
        <w:t>released September</w:t>
      </w:r>
      <w:r w:rsidR="00AD3680" w:rsidRPr="009969B2">
        <w:rPr>
          <w:rFonts w:cstheme="minorHAnsi"/>
          <w:color w:val="002060"/>
          <w:sz w:val="24"/>
          <w:szCs w:val="24"/>
        </w:rPr>
        <w:t xml:space="preserve"> </w:t>
      </w:r>
      <w:r w:rsidR="009969B2">
        <w:rPr>
          <w:rFonts w:cstheme="minorHAnsi"/>
          <w:color w:val="002060"/>
          <w:sz w:val="24"/>
          <w:szCs w:val="24"/>
        </w:rPr>
        <w:t xml:space="preserve">2023 </w:t>
      </w:r>
      <w:r w:rsidR="00AD3680" w:rsidRPr="009969B2">
        <w:rPr>
          <w:rFonts w:cstheme="minorHAnsi"/>
          <w:color w:val="002060"/>
          <w:sz w:val="24"/>
          <w:szCs w:val="24"/>
        </w:rPr>
        <w:t>impact</w:t>
      </w:r>
      <w:r w:rsidRPr="009969B2">
        <w:rPr>
          <w:rFonts w:cstheme="minorHAnsi"/>
          <w:color w:val="002060"/>
          <w:sz w:val="24"/>
          <w:szCs w:val="24"/>
        </w:rPr>
        <w:t>s</w:t>
      </w:r>
      <w:r w:rsidR="00AD3680" w:rsidRPr="009969B2">
        <w:rPr>
          <w:rFonts w:cstheme="minorHAnsi"/>
          <w:color w:val="002060"/>
          <w:sz w:val="24"/>
          <w:szCs w:val="24"/>
        </w:rPr>
        <w:t xml:space="preserve"> </w:t>
      </w:r>
      <w:r w:rsidRPr="009969B2">
        <w:rPr>
          <w:rFonts w:cstheme="minorHAnsi"/>
          <w:color w:val="002060"/>
          <w:sz w:val="24"/>
          <w:szCs w:val="24"/>
        </w:rPr>
        <w:t xml:space="preserve">coding of </w:t>
      </w:r>
      <w:r w:rsidR="00AD3680" w:rsidRPr="009969B2">
        <w:rPr>
          <w:rFonts w:cstheme="minorHAnsi"/>
          <w:color w:val="002060"/>
          <w:sz w:val="24"/>
          <w:szCs w:val="24"/>
        </w:rPr>
        <w:t>several sections of the MDS</w:t>
      </w:r>
      <w:r w:rsidRPr="009969B2">
        <w:rPr>
          <w:rFonts w:cstheme="minorHAnsi"/>
          <w:color w:val="002060"/>
          <w:sz w:val="24"/>
          <w:szCs w:val="24"/>
        </w:rPr>
        <w:t>.</w:t>
      </w:r>
      <w:r w:rsidR="00AD3680" w:rsidRPr="009969B2">
        <w:rPr>
          <w:rFonts w:cstheme="minorHAnsi"/>
          <w:color w:val="002060"/>
          <w:sz w:val="24"/>
          <w:szCs w:val="24"/>
        </w:rPr>
        <w:t xml:space="preserve"> </w:t>
      </w:r>
      <w:r w:rsidRPr="009969B2">
        <w:rPr>
          <w:rFonts w:cstheme="minorHAnsi"/>
          <w:color w:val="002060"/>
          <w:sz w:val="24"/>
          <w:szCs w:val="24"/>
        </w:rPr>
        <w:t xml:space="preserve"> For states </w:t>
      </w:r>
      <w:r w:rsidR="009B3834" w:rsidRPr="009969B2">
        <w:rPr>
          <w:rFonts w:cstheme="minorHAnsi"/>
          <w:color w:val="002060"/>
          <w:sz w:val="24"/>
          <w:szCs w:val="24"/>
        </w:rPr>
        <w:t>that use</w:t>
      </w:r>
      <w:r w:rsidRPr="009969B2">
        <w:rPr>
          <w:rFonts w:cstheme="minorHAnsi"/>
          <w:color w:val="002060"/>
          <w:sz w:val="24"/>
          <w:szCs w:val="24"/>
        </w:rPr>
        <w:t xml:space="preserve"> PDPM for Medicaid </w:t>
      </w:r>
      <w:r w:rsidR="005D4EFE">
        <w:rPr>
          <w:rFonts w:cstheme="minorHAnsi"/>
          <w:color w:val="002060"/>
          <w:sz w:val="24"/>
          <w:szCs w:val="24"/>
        </w:rPr>
        <w:t>reimbursement</w:t>
      </w:r>
      <w:r w:rsidRPr="009969B2">
        <w:rPr>
          <w:rFonts w:cstheme="minorHAnsi"/>
          <w:color w:val="002060"/>
          <w:sz w:val="24"/>
          <w:szCs w:val="24"/>
        </w:rPr>
        <w:t xml:space="preserve"> </w:t>
      </w:r>
      <w:r w:rsidR="005D4EFE">
        <w:rPr>
          <w:rFonts w:cstheme="minorHAnsi"/>
          <w:color w:val="002060"/>
          <w:sz w:val="24"/>
          <w:szCs w:val="24"/>
        </w:rPr>
        <w:t>(</w:t>
      </w:r>
      <w:r w:rsidRPr="009969B2">
        <w:rPr>
          <w:rFonts w:cstheme="minorHAnsi"/>
          <w:color w:val="002060"/>
          <w:sz w:val="24"/>
          <w:szCs w:val="24"/>
        </w:rPr>
        <w:t>in addition to Medicare Part A</w:t>
      </w:r>
      <w:r w:rsidR="005D4EFE">
        <w:rPr>
          <w:rFonts w:cstheme="minorHAnsi"/>
          <w:color w:val="002060"/>
          <w:sz w:val="24"/>
          <w:szCs w:val="24"/>
        </w:rPr>
        <w:t>)</w:t>
      </w:r>
      <w:r w:rsidRPr="009969B2">
        <w:rPr>
          <w:rFonts w:cstheme="minorHAnsi"/>
          <w:color w:val="002060"/>
          <w:sz w:val="24"/>
          <w:szCs w:val="24"/>
        </w:rPr>
        <w:t xml:space="preserve">, the </w:t>
      </w:r>
      <w:r w:rsidR="00EC5DD9">
        <w:rPr>
          <w:rFonts w:cstheme="minorHAnsi"/>
          <w:color w:val="002060"/>
          <w:sz w:val="24"/>
          <w:szCs w:val="24"/>
        </w:rPr>
        <w:t xml:space="preserve">financial </w:t>
      </w:r>
      <w:r w:rsidRPr="009969B2">
        <w:rPr>
          <w:rFonts w:cstheme="minorHAnsi"/>
          <w:color w:val="002060"/>
          <w:sz w:val="24"/>
          <w:szCs w:val="24"/>
        </w:rPr>
        <w:t xml:space="preserve">impact </w:t>
      </w:r>
      <w:r w:rsidRPr="00581351">
        <w:rPr>
          <w:rFonts w:cstheme="minorHAnsi"/>
          <w:color w:val="002060"/>
          <w:sz w:val="24"/>
          <w:szCs w:val="24"/>
        </w:rPr>
        <w:t xml:space="preserve">is much greater.  </w:t>
      </w:r>
    </w:p>
    <w:p w14:paraId="0557E615" w14:textId="77777777" w:rsidR="009969B2" w:rsidRDefault="009969B2" w:rsidP="009969B2">
      <w:pPr>
        <w:pStyle w:val="ListParagraph"/>
        <w:spacing w:after="0" w:line="240" w:lineRule="auto"/>
        <w:ind w:left="360"/>
        <w:rPr>
          <w:rFonts w:cstheme="minorHAnsi"/>
          <w:color w:val="002060"/>
          <w:sz w:val="24"/>
          <w:szCs w:val="24"/>
        </w:rPr>
      </w:pPr>
    </w:p>
    <w:p w14:paraId="6DCCE35E" w14:textId="15B67267" w:rsidR="00AD3680" w:rsidRPr="00581351" w:rsidRDefault="005D4EFE" w:rsidP="009969B2">
      <w:pPr>
        <w:pStyle w:val="ListParagraph"/>
        <w:spacing w:after="0" w:line="240" w:lineRule="auto"/>
        <w:ind w:left="360"/>
        <w:rPr>
          <w:rFonts w:cstheme="minorHAnsi"/>
          <w:color w:val="002060"/>
          <w:sz w:val="24"/>
          <w:szCs w:val="24"/>
        </w:rPr>
      </w:pPr>
      <w:r>
        <w:rPr>
          <w:rFonts w:cstheme="minorHAnsi"/>
          <w:color w:val="002060"/>
          <w:sz w:val="24"/>
          <w:szCs w:val="24"/>
        </w:rPr>
        <w:t>D</w:t>
      </w:r>
      <w:r w:rsidR="004E5F9F" w:rsidRPr="00581351">
        <w:rPr>
          <w:rFonts w:cstheme="minorHAnsi"/>
          <w:color w:val="002060"/>
          <w:sz w:val="24"/>
          <w:szCs w:val="24"/>
        </w:rPr>
        <w:t xml:space="preserve">ocumentation </w:t>
      </w:r>
      <w:r w:rsidR="009B3834" w:rsidRPr="00581351">
        <w:rPr>
          <w:rFonts w:cstheme="minorHAnsi"/>
          <w:color w:val="002060"/>
          <w:sz w:val="24"/>
          <w:szCs w:val="24"/>
        </w:rPr>
        <w:t xml:space="preserve">must </w:t>
      </w:r>
      <w:r w:rsidR="004E5F9F" w:rsidRPr="00581351">
        <w:rPr>
          <w:rFonts w:cstheme="minorHAnsi"/>
          <w:color w:val="002060"/>
          <w:sz w:val="24"/>
          <w:szCs w:val="24"/>
        </w:rPr>
        <w:t xml:space="preserve">support </w:t>
      </w:r>
      <w:r w:rsidR="00EC5DD9">
        <w:rPr>
          <w:rFonts w:cstheme="minorHAnsi"/>
          <w:color w:val="002060"/>
          <w:sz w:val="24"/>
          <w:szCs w:val="24"/>
        </w:rPr>
        <w:t xml:space="preserve">the </w:t>
      </w:r>
      <w:r>
        <w:rPr>
          <w:rFonts w:cstheme="minorHAnsi"/>
          <w:color w:val="002060"/>
          <w:sz w:val="24"/>
          <w:szCs w:val="24"/>
        </w:rPr>
        <w:t xml:space="preserve">MDS coded </w:t>
      </w:r>
      <w:r w:rsidR="004E5F9F" w:rsidRPr="00581351">
        <w:rPr>
          <w:rFonts w:cstheme="minorHAnsi"/>
          <w:color w:val="002060"/>
          <w:sz w:val="24"/>
          <w:szCs w:val="24"/>
        </w:rPr>
        <w:t>diagnoses following the RAI Manual guidelines</w:t>
      </w:r>
      <w:r w:rsidR="009B3834" w:rsidRPr="00581351">
        <w:rPr>
          <w:rFonts w:cstheme="minorHAnsi"/>
          <w:color w:val="002060"/>
          <w:sz w:val="24"/>
          <w:szCs w:val="24"/>
        </w:rPr>
        <w:t>.</w:t>
      </w:r>
      <w:r w:rsidR="004E5F9F" w:rsidRPr="00581351">
        <w:rPr>
          <w:rFonts w:cstheme="minorHAnsi"/>
          <w:color w:val="002060"/>
          <w:sz w:val="24"/>
          <w:szCs w:val="24"/>
        </w:rPr>
        <w:t xml:space="preserve">  </w:t>
      </w:r>
      <w:r w:rsidR="009B3834" w:rsidRPr="00581351">
        <w:rPr>
          <w:rFonts w:cstheme="minorHAnsi"/>
          <w:color w:val="002060"/>
          <w:sz w:val="24"/>
          <w:szCs w:val="24"/>
        </w:rPr>
        <w:t>It is important that p</w:t>
      </w:r>
      <w:r w:rsidR="004E5F9F" w:rsidRPr="00581351">
        <w:rPr>
          <w:rFonts w:cstheme="minorHAnsi"/>
          <w:color w:val="002060"/>
          <w:sz w:val="24"/>
          <w:szCs w:val="24"/>
        </w:rPr>
        <w:t xml:space="preserve">hysicians understand the full implications of certain ICD-10 </w:t>
      </w:r>
      <w:r w:rsidR="009969B2">
        <w:rPr>
          <w:rFonts w:cstheme="minorHAnsi"/>
          <w:color w:val="002060"/>
          <w:sz w:val="24"/>
          <w:szCs w:val="24"/>
        </w:rPr>
        <w:t>C</w:t>
      </w:r>
      <w:r w:rsidR="004E5F9F" w:rsidRPr="00581351">
        <w:rPr>
          <w:rFonts w:cstheme="minorHAnsi"/>
          <w:color w:val="002060"/>
          <w:sz w:val="24"/>
          <w:szCs w:val="24"/>
        </w:rPr>
        <w:t xml:space="preserve">odes and </w:t>
      </w:r>
      <w:r w:rsidR="009B3834" w:rsidRPr="00581351">
        <w:rPr>
          <w:rFonts w:cstheme="minorHAnsi"/>
          <w:color w:val="002060"/>
          <w:sz w:val="24"/>
          <w:szCs w:val="24"/>
        </w:rPr>
        <w:t xml:space="preserve">that </w:t>
      </w:r>
      <w:r w:rsidR="004E5F9F" w:rsidRPr="00581351">
        <w:rPr>
          <w:rFonts w:cstheme="minorHAnsi"/>
          <w:color w:val="002060"/>
          <w:sz w:val="24"/>
          <w:szCs w:val="24"/>
        </w:rPr>
        <w:t>staff hav</w:t>
      </w:r>
      <w:r w:rsidR="009B3834" w:rsidRPr="00581351">
        <w:rPr>
          <w:rFonts w:cstheme="minorHAnsi"/>
          <w:color w:val="002060"/>
          <w:sz w:val="24"/>
          <w:szCs w:val="24"/>
        </w:rPr>
        <w:t>e</w:t>
      </w:r>
      <w:r w:rsidR="004E5F9F" w:rsidRPr="00581351">
        <w:rPr>
          <w:rFonts w:cstheme="minorHAnsi"/>
          <w:color w:val="002060"/>
          <w:sz w:val="24"/>
          <w:szCs w:val="24"/>
        </w:rPr>
        <w:t xml:space="preserve"> a streamlined query process </w:t>
      </w:r>
      <w:r w:rsidR="009B3834" w:rsidRPr="00581351">
        <w:rPr>
          <w:rFonts w:cstheme="minorHAnsi"/>
          <w:color w:val="002060"/>
          <w:sz w:val="24"/>
          <w:szCs w:val="24"/>
        </w:rPr>
        <w:t>for</w:t>
      </w:r>
      <w:r w:rsidR="004E5F9F" w:rsidRPr="00581351">
        <w:rPr>
          <w:rFonts w:cstheme="minorHAnsi"/>
          <w:color w:val="002060"/>
          <w:sz w:val="24"/>
          <w:szCs w:val="24"/>
        </w:rPr>
        <w:t xml:space="preserve"> clarification </w:t>
      </w:r>
      <w:r w:rsidR="009B3834" w:rsidRPr="00581351">
        <w:rPr>
          <w:rFonts w:cstheme="minorHAnsi"/>
          <w:color w:val="002060"/>
          <w:sz w:val="24"/>
          <w:szCs w:val="24"/>
        </w:rPr>
        <w:t xml:space="preserve">of diagnoses </w:t>
      </w:r>
      <w:r>
        <w:rPr>
          <w:rFonts w:cstheme="minorHAnsi"/>
          <w:color w:val="002060"/>
          <w:sz w:val="24"/>
          <w:szCs w:val="24"/>
        </w:rPr>
        <w:t>as</w:t>
      </w:r>
      <w:r w:rsidR="004E5F9F" w:rsidRPr="00581351">
        <w:rPr>
          <w:rFonts w:cstheme="minorHAnsi"/>
          <w:color w:val="002060"/>
          <w:sz w:val="24"/>
          <w:szCs w:val="24"/>
        </w:rPr>
        <w:t xml:space="preserve"> needed.</w:t>
      </w:r>
    </w:p>
    <w:p w14:paraId="2B70E11E" w14:textId="77777777" w:rsidR="004E5F9F" w:rsidRPr="00581351" w:rsidRDefault="004E5F9F" w:rsidP="009969B2">
      <w:pPr>
        <w:pStyle w:val="ListParagraph"/>
        <w:spacing w:after="0" w:line="240" w:lineRule="auto"/>
        <w:ind w:left="360"/>
        <w:rPr>
          <w:rFonts w:cstheme="minorHAnsi"/>
          <w:color w:val="002060"/>
          <w:sz w:val="24"/>
          <w:szCs w:val="24"/>
        </w:rPr>
      </w:pPr>
    </w:p>
    <w:p w14:paraId="02A831BB" w14:textId="674E827A" w:rsidR="0087724F" w:rsidRPr="00581351" w:rsidRDefault="002409CD" w:rsidP="009969B2">
      <w:pPr>
        <w:pStyle w:val="ListParagraph"/>
        <w:keepNext/>
        <w:keepLines/>
        <w:numPr>
          <w:ilvl w:val="0"/>
          <w:numId w:val="1"/>
        </w:numPr>
        <w:spacing w:after="0" w:line="240" w:lineRule="auto"/>
        <w:ind w:left="360"/>
        <w:rPr>
          <w:rFonts w:cstheme="minorHAnsi"/>
          <w:b/>
          <w:bCs/>
          <w:color w:val="002060"/>
          <w:sz w:val="24"/>
          <w:szCs w:val="24"/>
        </w:rPr>
      </w:pPr>
      <w:r w:rsidRPr="00581351">
        <w:rPr>
          <w:rFonts w:cstheme="minorHAnsi"/>
          <w:b/>
          <w:bCs/>
          <w:color w:val="002060"/>
          <w:sz w:val="24"/>
          <w:szCs w:val="24"/>
        </w:rPr>
        <w:t xml:space="preserve">Training </w:t>
      </w:r>
      <w:r w:rsidR="00581351">
        <w:rPr>
          <w:rFonts w:cstheme="minorHAnsi"/>
          <w:b/>
          <w:bCs/>
          <w:color w:val="002060"/>
          <w:sz w:val="24"/>
          <w:szCs w:val="24"/>
        </w:rPr>
        <w:t>and</w:t>
      </w:r>
      <w:r w:rsidRPr="00581351">
        <w:rPr>
          <w:rFonts w:cstheme="minorHAnsi"/>
          <w:b/>
          <w:bCs/>
          <w:color w:val="002060"/>
          <w:sz w:val="24"/>
          <w:szCs w:val="24"/>
        </w:rPr>
        <w:t xml:space="preserve"> Clinical </w:t>
      </w:r>
      <w:r w:rsidR="0087724F" w:rsidRPr="00581351">
        <w:rPr>
          <w:rFonts w:cstheme="minorHAnsi"/>
          <w:b/>
          <w:bCs/>
          <w:color w:val="002060"/>
          <w:sz w:val="24"/>
          <w:szCs w:val="24"/>
        </w:rPr>
        <w:t>L</w:t>
      </w:r>
      <w:r w:rsidRPr="00581351">
        <w:rPr>
          <w:rFonts w:cstheme="minorHAnsi"/>
          <w:b/>
          <w:bCs/>
          <w:color w:val="002060"/>
          <w:sz w:val="24"/>
          <w:szCs w:val="24"/>
        </w:rPr>
        <w:t>eadership</w:t>
      </w:r>
    </w:p>
    <w:p w14:paraId="7212AF90" w14:textId="77777777" w:rsidR="006C638F" w:rsidRPr="00581351" w:rsidRDefault="006C638F" w:rsidP="009969B2">
      <w:pPr>
        <w:pStyle w:val="ListParagraph"/>
        <w:spacing w:after="0" w:line="240" w:lineRule="auto"/>
        <w:ind w:left="360"/>
        <w:rPr>
          <w:rFonts w:cstheme="minorHAnsi"/>
          <w:color w:val="002060"/>
          <w:sz w:val="24"/>
          <w:szCs w:val="24"/>
        </w:rPr>
      </w:pPr>
    </w:p>
    <w:p w14:paraId="2C58B307" w14:textId="10BABC95" w:rsidR="00E2400C" w:rsidRPr="00581351" w:rsidRDefault="006C638F" w:rsidP="009969B2">
      <w:pPr>
        <w:pStyle w:val="ListParagraph"/>
        <w:spacing w:after="0" w:line="240" w:lineRule="auto"/>
        <w:ind w:left="360"/>
        <w:rPr>
          <w:rFonts w:cstheme="minorHAnsi"/>
          <w:color w:val="002060"/>
          <w:sz w:val="24"/>
          <w:szCs w:val="24"/>
        </w:rPr>
      </w:pPr>
      <w:r w:rsidRPr="00581351">
        <w:rPr>
          <w:rFonts w:cstheme="minorHAnsi"/>
          <w:color w:val="002060"/>
          <w:sz w:val="24"/>
          <w:szCs w:val="24"/>
        </w:rPr>
        <w:t xml:space="preserve">Updating </w:t>
      </w:r>
      <w:r w:rsidR="005D4EFE">
        <w:rPr>
          <w:rFonts w:cstheme="minorHAnsi"/>
          <w:color w:val="002060"/>
          <w:sz w:val="24"/>
          <w:szCs w:val="24"/>
        </w:rPr>
        <w:t xml:space="preserve">the </w:t>
      </w:r>
      <w:r w:rsidRPr="00581351">
        <w:rPr>
          <w:rFonts w:cstheme="minorHAnsi"/>
          <w:color w:val="002060"/>
          <w:sz w:val="24"/>
          <w:szCs w:val="24"/>
        </w:rPr>
        <w:t>facility policies and procedures</w:t>
      </w:r>
      <w:r w:rsidR="005D4EFE">
        <w:rPr>
          <w:rFonts w:cstheme="minorHAnsi"/>
          <w:color w:val="002060"/>
          <w:sz w:val="24"/>
          <w:szCs w:val="24"/>
        </w:rPr>
        <w:t xml:space="preserve"> </w:t>
      </w:r>
      <w:r w:rsidR="005D2203">
        <w:rPr>
          <w:rFonts w:cstheme="minorHAnsi"/>
          <w:color w:val="002060"/>
          <w:sz w:val="24"/>
          <w:szCs w:val="24"/>
        </w:rPr>
        <w:t xml:space="preserve">to properly </w:t>
      </w:r>
      <w:r w:rsidR="0077399A" w:rsidRPr="00581351">
        <w:rPr>
          <w:rFonts w:cstheme="minorHAnsi"/>
          <w:color w:val="002060"/>
          <w:sz w:val="24"/>
          <w:szCs w:val="24"/>
        </w:rPr>
        <w:t xml:space="preserve">reflect </w:t>
      </w:r>
      <w:r w:rsidR="005D2203">
        <w:rPr>
          <w:rFonts w:cstheme="minorHAnsi"/>
          <w:color w:val="002060"/>
          <w:sz w:val="24"/>
          <w:szCs w:val="24"/>
        </w:rPr>
        <w:t xml:space="preserve">these </w:t>
      </w:r>
      <w:r w:rsidR="0077399A" w:rsidRPr="00581351">
        <w:rPr>
          <w:rFonts w:cstheme="minorHAnsi"/>
          <w:color w:val="002060"/>
          <w:sz w:val="24"/>
          <w:szCs w:val="24"/>
        </w:rPr>
        <w:t xml:space="preserve">MDS changes must be completed and </w:t>
      </w:r>
      <w:r w:rsidR="005D2203">
        <w:rPr>
          <w:rFonts w:cstheme="minorHAnsi"/>
          <w:color w:val="002060"/>
          <w:sz w:val="24"/>
          <w:szCs w:val="24"/>
        </w:rPr>
        <w:t xml:space="preserve">implemented expeditiously. </w:t>
      </w:r>
      <w:r w:rsidR="0077399A" w:rsidRPr="00581351">
        <w:rPr>
          <w:rFonts w:cstheme="minorHAnsi"/>
          <w:color w:val="002060"/>
          <w:sz w:val="24"/>
          <w:szCs w:val="24"/>
        </w:rPr>
        <w:t xml:space="preserve">Education </w:t>
      </w:r>
      <w:r w:rsidR="005D2203">
        <w:rPr>
          <w:rFonts w:cstheme="minorHAnsi"/>
          <w:color w:val="002060"/>
          <w:sz w:val="24"/>
          <w:szCs w:val="24"/>
        </w:rPr>
        <w:t xml:space="preserve">with </w:t>
      </w:r>
      <w:r w:rsidR="0077399A" w:rsidRPr="00581351">
        <w:rPr>
          <w:rFonts w:cstheme="minorHAnsi"/>
          <w:color w:val="002060"/>
          <w:sz w:val="24"/>
          <w:szCs w:val="24"/>
        </w:rPr>
        <w:t>frequent training</w:t>
      </w:r>
      <w:r w:rsidR="005D2203">
        <w:rPr>
          <w:rFonts w:cstheme="minorHAnsi"/>
          <w:color w:val="002060"/>
          <w:sz w:val="24"/>
          <w:szCs w:val="24"/>
        </w:rPr>
        <w:t>s</w:t>
      </w:r>
      <w:r w:rsidR="0077399A" w:rsidRPr="00581351">
        <w:rPr>
          <w:rFonts w:cstheme="minorHAnsi"/>
          <w:color w:val="002060"/>
          <w:sz w:val="24"/>
          <w:szCs w:val="24"/>
        </w:rPr>
        <w:t xml:space="preserve"> about the </w:t>
      </w:r>
      <w:r w:rsidR="005D2203">
        <w:rPr>
          <w:rFonts w:cstheme="minorHAnsi"/>
          <w:color w:val="002060"/>
          <w:sz w:val="24"/>
          <w:szCs w:val="24"/>
        </w:rPr>
        <w:t xml:space="preserve">revised </w:t>
      </w:r>
      <w:r w:rsidR="0077399A" w:rsidRPr="00581351">
        <w:rPr>
          <w:rFonts w:cstheme="minorHAnsi"/>
          <w:color w:val="002060"/>
          <w:sz w:val="24"/>
          <w:szCs w:val="24"/>
        </w:rPr>
        <w:t>polic</w:t>
      </w:r>
      <w:r w:rsidR="005D2203">
        <w:rPr>
          <w:rFonts w:cstheme="minorHAnsi"/>
          <w:color w:val="002060"/>
          <w:sz w:val="24"/>
          <w:szCs w:val="24"/>
        </w:rPr>
        <w:t>ies</w:t>
      </w:r>
      <w:r w:rsidR="0077399A" w:rsidRPr="00581351">
        <w:rPr>
          <w:rFonts w:cstheme="minorHAnsi"/>
          <w:color w:val="002060"/>
          <w:sz w:val="24"/>
          <w:szCs w:val="24"/>
        </w:rPr>
        <w:t xml:space="preserve"> and procedure</w:t>
      </w:r>
      <w:r w:rsidR="005D2203">
        <w:rPr>
          <w:rFonts w:cstheme="minorHAnsi"/>
          <w:color w:val="002060"/>
          <w:sz w:val="24"/>
          <w:szCs w:val="24"/>
        </w:rPr>
        <w:t>s</w:t>
      </w:r>
      <w:r w:rsidR="0077399A" w:rsidRPr="00581351">
        <w:rPr>
          <w:rFonts w:cstheme="minorHAnsi"/>
          <w:color w:val="002060"/>
          <w:sz w:val="24"/>
          <w:szCs w:val="24"/>
        </w:rPr>
        <w:t>, the reasons for the</w:t>
      </w:r>
      <w:r w:rsidR="005D2203">
        <w:rPr>
          <w:rFonts w:cstheme="minorHAnsi"/>
          <w:color w:val="002060"/>
          <w:sz w:val="24"/>
          <w:szCs w:val="24"/>
        </w:rPr>
        <w:t xml:space="preserve"> changes</w:t>
      </w:r>
      <w:r w:rsidR="0077399A" w:rsidRPr="00581351">
        <w:rPr>
          <w:rFonts w:cstheme="minorHAnsi"/>
          <w:color w:val="002060"/>
          <w:sz w:val="24"/>
          <w:szCs w:val="24"/>
        </w:rPr>
        <w:t xml:space="preserve">, </w:t>
      </w:r>
      <w:r w:rsidR="005D2203">
        <w:rPr>
          <w:rFonts w:cstheme="minorHAnsi"/>
          <w:color w:val="002060"/>
          <w:sz w:val="24"/>
          <w:szCs w:val="24"/>
        </w:rPr>
        <w:t xml:space="preserve">combined with information on the </w:t>
      </w:r>
      <w:r w:rsidR="0077399A" w:rsidRPr="00581351">
        <w:rPr>
          <w:rFonts w:cstheme="minorHAnsi"/>
          <w:color w:val="002060"/>
          <w:sz w:val="24"/>
          <w:szCs w:val="24"/>
        </w:rPr>
        <w:t xml:space="preserve">MDS changes and their importance is critical.  </w:t>
      </w:r>
      <w:r w:rsidR="007F02B3" w:rsidRPr="00581351">
        <w:rPr>
          <w:rFonts w:cstheme="minorHAnsi"/>
          <w:color w:val="002060"/>
          <w:sz w:val="24"/>
          <w:szCs w:val="24"/>
        </w:rPr>
        <w:t>Following up</w:t>
      </w:r>
      <w:r w:rsidR="0077399A" w:rsidRPr="00581351">
        <w:rPr>
          <w:rFonts w:cstheme="minorHAnsi"/>
          <w:color w:val="002060"/>
          <w:sz w:val="24"/>
          <w:szCs w:val="24"/>
        </w:rPr>
        <w:t xml:space="preserve"> </w:t>
      </w:r>
      <w:r w:rsidR="007F02B3" w:rsidRPr="00581351">
        <w:rPr>
          <w:rFonts w:cstheme="minorHAnsi"/>
          <w:color w:val="002060"/>
          <w:sz w:val="24"/>
          <w:szCs w:val="24"/>
        </w:rPr>
        <w:t xml:space="preserve">on this </w:t>
      </w:r>
      <w:r w:rsidR="0077399A" w:rsidRPr="00581351">
        <w:rPr>
          <w:rFonts w:cstheme="minorHAnsi"/>
          <w:color w:val="002060"/>
          <w:sz w:val="24"/>
          <w:szCs w:val="24"/>
        </w:rPr>
        <w:t xml:space="preserve">to </w:t>
      </w:r>
      <w:r w:rsidR="007F02B3" w:rsidRPr="00581351">
        <w:rPr>
          <w:rFonts w:cstheme="minorHAnsi"/>
          <w:color w:val="002060"/>
          <w:sz w:val="24"/>
          <w:szCs w:val="24"/>
        </w:rPr>
        <w:t>gauge</w:t>
      </w:r>
      <w:r w:rsidR="0077399A" w:rsidRPr="00581351">
        <w:rPr>
          <w:rFonts w:cstheme="minorHAnsi"/>
          <w:color w:val="002060"/>
          <w:sz w:val="24"/>
          <w:szCs w:val="24"/>
        </w:rPr>
        <w:t xml:space="preserve"> </w:t>
      </w:r>
      <w:r w:rsidR="007F02B3" w:rsidRPr="00581351">
        <w:rPr>
          <w:rFonts w:cstheme="minorHAnsi"/>
          <w:color w:val="002060"/>
          <w:sz w:val="24"/>
          <w:szCs w:val="24"/>
        </w:rPr>
        <w:t>how</w:t>
      </w:r>
      <w:r w:rsidR="0077399A" w:rsidRPr="00581351">
        <w:rPr>
          <w:rFonts w:cstheme="minorHAnsi"/>
          <w:color w:val="002060"/>
          <w:sz w:val="24"/>
          <w:szCs w:val="24"/>
        </w:rPr>
        <w:t xml:space="preserve"> the clinical team</w:t>
      </w:r>
      <w:r w:rsidR="007F02B3" w:rsidRPr="00581351">
        <w:rPr>
          <w:rFonts w:cstheme="minorHAnsi"/>
          <w:color w:val="002060"/>
          <w:sz w:val="24"/>
          <w:szCs w:val="24"/>
        </w:rPr>
        <w:t xml:space="preserve"> is adjusting to the</w:t>
      </w:r>
      <w:r w:rsidR="001D4EAE" w:rsidRPr="00581351">
        <w:rPr>
          <w:rFonts w:cstheme="minorHAnsi"/>
          <w:color w:val="002060"/>
          <w:sz w:val="24"/>
          <w:szCs w:val="24"/>
        </w:rPr>
        <w:t>se</w:t>
      </w:r>
      <w:r w:rsidR="007F02B3" w:rsidRPr="00581351">
        <w:rPr>
          <w:rFonts w:cstheme="minorHAnsi"/>
          <w:color w:val="002060"/>
          <w:sz w:val="24"/>
          <w:szCs w:val="24"/>
        </w:rPr>
        <w:t xml:space="preserve"> significant MDS and RAI Manual</w:t>
      </w:r>
      <w:r w:rsidR="00FF256F" w:rsidRPr="00581351">
        <w:rPr>
          <w:rFonts w:cstheme="minorHAnsi"/>
          <w:color w:val="002060"/>
          <w:sz w:val="24"/>
          <w:szCs w:val="24"/>
        </w:rPr>
        <w:t xml:space="preserve"> changes</w:t>
      </w:r>
      <w:r w:rsidR="007F02B3" w:rsidRPr="00581351">
        <w:rPr>
          <w:rFonts w:cstheme="minorHAnsi"/>
          <w:color w:val="002060"/>
          <w:sz w:val="24"/>
          <w:szCs w:val="24"/>
        </w:rPr>
        <w:t xml:space="preserve"> is equally </w:t>
      </w:r>
      <w:r w:rsidR="005D2203" w:rsidRPr="00581351">
        <w:rPr>
          <w:rFonts w:cstheme="minorHAnsi"/>
          <w:color w:val="002060"/>
          <w:sz w:val="24"/>
          <w:szCs w:val="24"/>
        </w:rPr>
        <w:t>essential</w:t>
      </w:r>
      <w:r w:rsidR="007F02B3" w:rsidRPr="00581351">
        <w:rPr>
          <w:rFonts w:cstheme="minorHAnsi"/>
          <w:color w:val="002060"/>
          <w:sz w:val="24"/>
          <w:szCs w:val="24"/>
        </w:rPr>
        <w:t>.</w:t>
      </w:r>
      <w:r w:rsidR="0077399A" w:rsidRPr="00581351">
        <w:rPr>
          <w:rFonts w:cstheme="minorHAnsi"/>
          <w:color w:val="002060"/>
          <w:sz w:val="24"/>
          <w:szCs w:val="24"/>
        </w:rPr>
        <w:t xml:space="preserve"> </w:t>
      </w:r>
    </w:p>
    <w:p w14:paraId="10917C83" w14:textId="77777777" w:rsidR="004041B2" w:rsidRPr="00581351" w:rsidRDefault="004041B2" w:rsidP="009969B2">
      <w:pPr>
        <w:spacing w:after="0" w:line="240" w:lineRule="auto"/>
        <w:rPr>
          <w:rFonts w:cstheme="minorHAnsi"/>
          <w:color w:val="002060"/>
          <w:sz w:val="24"/>
          <w:szCs w:val="24"/>
        </w:rPr>
      </w:pPr>
    </w:p>
    <w:p w14:paraId="2A3A2700" w14:textId="7F7BF77F" w:rsidR="00D137BA" w:rsidRPr="00581351" w:rsidRDefault="00D137BA" w:rsidP="009969B2">
      <w:pPr>
        <w:spacing w:after="0" w:line="240" w:lineRule="auto"/>
        <w:rPr>
          <w:rFonts w:cstheme="minorHAnsi"/>
          <w:color w:val="002060"/>
          <w:sz w:val="24"/>
          <w:szCs w:val="24"/>
        </w:rPr>
      </w:pPr>
      <w:r w:rsidRPr="00581351">
        <w:rPr>
          <w:rFonts w:cstheme="minorHAnsi"/>
          <w:color w:val="002060"/>
          <w:sz w:val="24"/>
          <w:szCs w:val="24"/>
        </w:rPr>
        <w:t>Success with the</w:t>
      </w:r>
      <w:r w:rsidR="001D4EAE" w:rsidRPr="00581351">
        <w:rPr>
          <w:rFonts w:cstheme="minorHAnsi"/>
          <w:color w:val="002060"/>
          <w:sz w:val="24"/>
          <w:szCs w:val="24"/>
        </w:rPr>
        <w:t xml:space="preserve"> above</w:t>
      </w:r>
      <w:r w:rsidRPr="00581351">
        <w:rPr>
          <w:rFonts w:cstheme="minorHAnsi"/>
          <w:color w:val="002060"/>
          <w:sz w:val="24"/>
          <w:szCs w:val="24"/>
        </w:rPr>
        <w:t xml:space="preserve"> requires aligning operations with </w:t>
      </w:r>
      <w:r w:rsidR="00A31B23" w:rsidRPr="00581351">
        <w:rPr>
          <w:rFonts w:cstheme="minorHAnsi"/>
          <w:color w:val="002060"/>
          <w:sz w:val="24"/>
          <w:szCs w:val="24"/>
        </w:rPr>
        <w:t xml:space="preserve">the MDS changes and </w:t>
      </w:r>
      <w:r w:rsidRPr="00581351">
        <w:rPr>
          <w:rFonts w:cstheme="minorHAnsi"/>
          <w:color w:val="002060"/>
          <w:sz w:val="24"/>
          <w:szCs w:val="24"/>
        </w:rPr>
        <w:t xml:space="preserve">regulatory expectations </w:t>
      </w:r>
      <w:r w:rsidR="00A31B23" w:rsidRPr="00581351">
        <w:rPr>
          <w:rFonts w:cstheme="minorHAnsi"/>
          <w:color w:val="002060"/>
          <w:sz w:val="24"/>
          <w:szCs w:val="24"/>
        </w:rPr>
        <w:t>plus</w:t>
      </w:r>
      <w:r w:rsidRPr="00581351">
        <w:rPr>
          <w:rFonts w:cstheme="minorHAnsi"/>
          <w:color w:val="002060"/>
          <w:sz w:val="24"/>
          <w:szCs w:val="24"/>
        </w:rPr>
        <w:t xml:space="preserve"> recognizing th</w:t>
      </w:r>
      <w:r w:rsidR="00C63341" w:rsidRPr="00581351">
        <w:rPr>
          <w:rFonts w:cstheme="minorHAnsi"/>
          <w:color w:val="002060"/>
          <w:sz w:val="24"/>
          <w:szCs w:val="24"/>
        </w:rPr>
        <w:t>e key</w:t>
      </w:r>
      <w:r w:rsidR="00A31B23" w:rsidRPr="00581351">
        <w:rPr>
          <w:rFonts w:cstheme="minorHAnsi"/>
          <w:color w:val="002060"/>
          <w:sz w:val="24"/>
          <w:szCs w:val="24"/>
        </w:rPr>
        <w:t xml:space="preserve"> factors of </w:t>
      </w:r>
      <w:r w:rsidRPr="00581351">
        <w:rPr>
          <w:rFonts w:cstheme="minorHAnsi"/>
          <w:color w:val="002060"/>
          <w:sz w:val="24"/>
          <w:szCs w:val="24"/>
        </w:rPr>
        <w:t xml:space="preserve">quality, safety, and person-centered care. </w:t>
      </w:r>
      <w:r w:rsidR="00394C6F" w:rsidRPr="00581351">
        <w:rPr>
          <w:rFonts w:cstheme="minorHAnsi"/>
          <w:color w:val="002060"/>
          <w:sz w:val="24"/>
          <w:szCs w:val="24"/>
        </w:rPr>
        <w:t xml:space="preserve"> Education, audits, more education, and a strong QAPI program will make a difference with the</w:t>
      </w:r>
      <w:r w:rsidR="00FC12FC" w:rsidRPr="00581351">
        <w:rPr>
          <w:rFonts w:cstheme="minorHAnsi"/>
          <w:color w:val="002060"/>
          <w:sz w:val="24"/>
          <w:szCs w:val="24"/>
        </w:rPr>
        <w:t xml:space="preserve"> new MDS</w:t>
      </w:r>
      <w:r w:rsidR="00394C6F" w:rsidRPr="00581351">
        <w:rPr>
          <w:rFonts w:cstheme="minorHAnsi"/>
          <w:color w:val="002060"/>
          <w:sz w:val="24"/>
          <w:szCs w:val="24"/>
        </w:rPr>
        <w:t xml:space="preserve"> changes.</w:t>
      </w:r>
    </w:p>
    <w:p w14:paraId="4836C810" w14:textId="77777777" w:rsidR="00394C6F" w:rsidRDefault="00394C6F" w:rsidP="00581351">
      <w:pPr>
        <w:spacing w:after="0" w:line="240" w:lineRule="auto"/>
        <w:rPr>
          <w:rFonts w:cstheme="minorHAnsi"/>
          <w:color w:val="002060"/>
          <w:sz w:val="24"/>
          <w:szCs w:val="24"/>
        </w:rPr>
      </w:pPr>
    </w:p>
    <w:p w14:paraId="1FC5A45D" w14:textId="77777777" w:rsidR="005D4EFE" w:rsidRDefault="005D4EFE" w:rsidP="00581351">
      <w:pPr>
        <w:spacing w:after="0" w:line="240" w:lineRule="auto"/>
        <w:rPr>
          <w:rFonts w:cstheme="minorHAnsi"/>
          <w:color w:val="002060"/>
          <w:sz w:val="24"/>
          <w:szCs w:val="24"/>
        </w:rPr>
      </w:pPr>
    </w:p>
    <w:p w14:paraId="21FE0295" w14:textId="77777777" w:rsidR="005D4EFE" w:rsidRDefault="005D4EFE" w:rsidP="00581351">
      <w:pPr>
        <w:spacing w:after="0" w:line="240" w:lineRule="auto"/>
        <w:rPr>
          <w:rFonts w:cstheme="minorHAnsi"/>
          <w:color w:val="002060"/>
          <w:sz w:val="24"/>
          <w:szCs w:val="24"/>
        </w:rPr>
      </w:pPr>
    </w:p>
    <w:p w14:paraId="1EEED213" w14:textId="77777777" w:rsidR="00EC5DD9" w:rsidRPr="00EC5DD9" w:rsidRDefault="00EC5DD9" w:rsidP="00EC5DD9">
      <w:pPr>
        <w:shd w:val="clear" w:color="auto" w:fill="FFFFFF"/>
        <w:spacing w:after="0" w:line="240" w:lineRule="auto"/>
        <w:rPr>
          <w:rFonts w:eastAsia="Times New Roman" w:cstheme="minorHAnsi"/>
          <w:color w:val="222222"/>
          <w:sz w:val="24"/>
          <w:szCs w:val="24"/>
          <w:lang w:val="sv-SE" w:eastAsia="zh-CN"/>
        </w:rPr>
      </w:pPr>
      <w:r w:rsidRPr="00EC5DD9">
        <w:rPr>
          <w:rFonts w:eastAsia="Times New Roman" w:cstheme="minorHAnsi"/>
          <w:b/>
          <w:bCs/>
          <w:color w:val="073763"/>
          <w:sz w:val="24"/>
          <w:szCs w:val="24"/>
          <w:lang w:val="sv-SE" w:eastAsia="zh-CN"/>
        </w:rPr>
        <w:t>Kris B. Harmony OTR/L, LNHA, MBA</w:t>
      </w:r>
    </w:p>
    <w:p w14:paraId="4AFDE8CF" w14:textId="77777777" w:rsidR="00EC5DD9" w:rsidRPr="00EC5DD9" w:rsidRDefault="00EC5DD9" w:rsidP="00EC5DD9">
      <w:pPr>
        <w:shd w:val="clear" w:color="auto" w:fill="FFFFFF"/>
        <w:spacing w:after="0" w:line="240" w:lineRule="auto"/>
        <w:rPr>
          <w:rFonts w:eastAsia="Times New Roman" w:cstheme="minorHAnsi"/>
          <w:color w:val="222222"/>
          <w:sz w:val="24"/>
          <w:szCs w:val="24"/>
          <w:lang w:eastAsia="zh-CN"/>
        </w:rPr>
      </w:pPr>
      <w:r w:rsidRPr="00EC5DD9">
        <w:rPr>
          <w:rFonts w:eastAsia="Times New Roman" w:cstheme="minorHAnsi"/>
          <w:b/>
          <w:bCs/>
          <w:color w:val="073763"/>
          <w:sz w:val="24"/>
          <w:szCs w:val="24"/>
          <w:lang w:eastAsia="zh-CN"/>
        </w:rPr>
        <w:t>KrisBHarmony, LLC</w:t>
      </w:r>
    </w:p>
    <w:p w14:paraId="09D93919" w14:textId="77777777" w:rsidR="00EC5DD9" w:rsidRPr="00EC5DD9" w:rsidRDefault="00EC5DD9" w:rsidP="00EC5DD9">
      <w:pPr>
        <w:shd w:val="clear" w:color="auto" w:fill="FFFFFF"/>
        <w:spacing w:after="0" w:line="240" w:lineRule="auto"/>
        <w:rPr>
          <w:rFonts w:eastAsia="Times New Roman" w:cstheme="minorHAnsi"/>
          <w:color w:val="222222"/>
          <w:sz w:val="24"/>
          <w:szCs w:val="24"/>
          <w:lang w:eastAsia="zh-CN"/>
        </w:rPr>
      </w:pPr>
      <w:r w:rsidRPr="00EC5DD9">
        <w:rPr>
          <w:rFonts w:eastAsia="Times New Roman" w:cstheme="minorHAnsi"/>
          <w:color w:val="073763"/>
          <w:sz w:val="24"/>
          <w:szCs w:val="24"/>
          <w:lang w:eastAsia="zh-CN"/>
        </w:rPr>
        <w:t>Cell: 617.595.6032</w:t>
      </w:r>
    </w:p>
    <w:p w14:paraId="6D703D22" w14:textId="77777777" w:rsidR="00EC5DD9" w:rsidRPr="00EC5DD9" w:rsidRDefault="00EC5DD9" w:rsidP="00EC5DD9">
      <w:pPr>
        <w:shd w:val="clear" w:color="auto" w:fill="FFFFFF"/>
        <w:spacing w:after="0" w:line="240" w:lineRule="auto"/>
        <w:rPr>
          <w:rFonts w:eastAsia="Times New Roman" w:cstheme="minorHAnsi"/>
          <w:color w:val="222222"/>
          <w:sz w:val="24"/>
          <w:szCs w:val="24"/>
          <w:lang w:eastAsia="zh-CN"/>
        </w:rPr>
      </w:pPr>
      <w:r w:rsidRPr="00EC5DD9">
        <w:rPr>
          <w:rFonts w:eastAsia="Times New Roman" w:cstheme="minorHAnsi"/>
          <w:color w:val="073763"/>
          <w:sz w:val="24"/>
          <w:szCs w:val="24"/>
          <w:lang w:eastAsia="zh-CN"/>
        </w:rPr>
        <w:t>Email: Kris@KrisBHarmony.com</w:t>
      </w:r>
    </w:p>
    <w:p w14:paraId="05E64561" w14:textId="77777777" w:rsidR="00EC5DD9" w:rsidRPr="00EC5DD9" w:rsidRDefault="00EC5DD9" w:rsidP="00EC5DD9">
      <w:pPr>
        <w:shd w:val="clear" w:color="auto" w:fill="FFFFFF"/>
        <w:spacing w:after="0" w:line="240" w:lineRule="auto"/>
        <w:rPr>
          <w:rFonts w:eastAsia="Times New Roman" w:cstheme="minorHAnsi"/>
          <w:color w:val="222222"/>
          <w:sz w:val="24"/>
          <w:szCs w:val="24"/>
          <w:lang w:eastAsia="zh-CN"/>
        </w:rPr>
      </w:pPr>
      <w:r w:rsidRPr="00EC5DD9">
        <w:rPr>
          <w:rFonts w:eastAsia="Times New Roman" w:cstheme="minorHAnsi"/>
          <w:color w:val="073763"/>
          <w:sz w:val="24"/>
          <w:szCs w:val="24"/>
          <w:lang w:eastAsia="zh-CN"/>
        </w:rPr>
        <w:t>Website: </w:t>
      </w:r>
      <w:hyperlink r:id="rId8" w:tgtFrame="_blank" w:history="1">
        <w:r w:rsidRPr="00EC5DD9">
          <w:rPr>
            <w:rFonts w:eastAsia="Times New Roman" w:cstheme="minorHAnsi"/>
            <w:color w:val="1155CC"/>
            <w:sz w:val="24"/>
            <w:szCs w:val="24"/>
            <w:u w:val="single"/>
            <w:lang w:eastAsia="zh-CN"/>
          </w:rPr>
          <w:t>www.krisbharmony.com</w:t>
        </w:r>
      </w:hyperlink>
    </w:p>
    <w:p w14:paraId="6E004FA9" w14:textId="77777777" w:rsidR="00EC5DD9" w:rsidRPr="00EC5DD9" w:rsidRDefault="00EC5DD9" w:rsidP="00EC5DD9">
      <w:pPr>
        <w:spacing w:after="0" w:line="240" w:lineRule="auto"/>
        <w:rPr>
          <w:rFonts w:ascii="Times New Roman" w:eastAsia="Times New Roman" w:hAnsi="Times New Roman" w:cs="Times New Roman"/>
          <w:sz w:val="24"/>
          <w:szCs w:val="24"/>
          <w:lang w:eastAsia="zh-CN"/>
        </w:rPr>
      </w:pPr>
    </w:p>
    <w:p w14:paraId="27824BD3" w14:textId="77777777" w:rsidR="00372844" w:rsidRPr="00581351" w:rsidRDefault="00372844" w:rsidP="00581351">
      <w:pPr>
        <w:spacing w:after="0" w:line="240" w:lineRule="auto"/>
        <w:rPr>
          <w:rFonts w:cstheme="minorHAnsi"/>
          <w:color w:val="002060"/>
          <w:sz w:val="24"/>
          <w:szCs w:val="24"/>
        </w:rPr>
      </w:pPr>
    </w:p>
    <w:sectPr w:rsidR="00372844" w:rsidRPr="0058135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6A76" w14:textId="77777777" w:rsidR="00EF7334" w:rsidRDefault="00EF7334" w:rsidP="00581351">
      <w:pPr>
        <w:spacing w:after="0" w:line="240" w:lineRule="auto"/>
      </w:pPr>
      <w:r>
        <w:separator/>
      </w:r>
    </w:p>
  </w:endnote>
  <w:endnote w:type="continuationSeparator" w:id="0">
    <w:p w14:paraId="33849468" w14:textId="77777777" w:rsidR="00EF7334" w:rsidRDefault="00EF7334" w:rsidP="0058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6FFA" w14:textId="77777777" w:rsidR="00581351" w:rsidRPr="005D2203" w:rsidRDefault="00581351" w:rsidP="00581351">
    <w:pPr>
      <w:pBdr>
        <w:top w:val="single" w:sz="12" w:space="0" w:color="5F497A"/>
      </w:pBdr>
      <w:spacing w:after="0" w:line="240" w:lineRule="auto"/>
      <w:jc w:val="center"/>
      <w:rPr>
        <w:rFonts w:eastAsia="Times New Roman" w:cstheme="minorHAnsi"/>
        <w:bCs/>
        <w:color w:val="002060"/>
        <w:sz w:val="20"/>
        <w:szCs w:val="24"/>
      </w:rPr>
    </w:pPr>
    <w:r w:rsidRPr="005D2203">
      <w:rPr>
        <w:rFonts w:eastAsia="Times New Roman" w:cstheme="minorHAnsi"/>
        <w:b/>
        <w:color w:val="002060"/>
        <w:sz w:val="20"/>
        <w:szCs w:val="24"/>
      </w:rPr>
      <w:t>KrisBHarmony, LLC (KBH)</w:t>
    </w:r>
  </w:p>
  <w:p w14:paraId="64E1B976" w14:textId="77777777" w:rsidR="00581351" w:rsidRPr="005D2203" w:rsidRDefault="00581351" w:rsidP="00581351">
    <w:pPr>
      <w:tabs>
        <w:tab w:val="center" w:pos="5016"/>
        <w:tab w:val="right" w:pos="9348"/>
      </w:tabs>
      <w:spacing w:after="0" w:line="240" w:lineRule="auto"/>
      <w:jc w:val="center"/>
      <w:rPr>
        <w:rFonts w:eastAsia="Times New Roman" w:cstheme="minorHAnsi"/>
        <w:color w:val="002060"/>
        <w:sz w:val="16"/>
        <w:szCs w:val="24"/>
      </w:rPr>
    </w:pPr>
    <w:r w:rsidRPr="005D2203">
      <w:rPr>
        <w:rFonts w:eastAsia="Times New Roman" w:cstheme="minorHAnsi"/>
        <w:color w:val="002060"/>
        <w:sz w:val="16"/>
        <w:szCs w:val="24"/>
      </w:rPr>
      <w:t>Tel:  617.595.6032</w:t>
    </w:r>
  </w:p>
  <w:p w14:paraId="4294D66F" w14:textId="77777777" w:rsidR="00581351" w:rsidRPr="005D2203" w:rsidRDefault="00581351" w:rsidP="00581351">
    <w:pPr>
      <w:tabs>
        <w:tab w:val="center" w:pos="4680"/>
        <w:tab w:val="right" w:pos="9360"/>
      </w:tabs>
      <w:spacing w:after="0" w:line="240" w:lineRule="auto"/>
      <w:jc w:val="center"/>
      <w:rPr>
        <w:rFonts w:cstheme="minorHAnsi"/>
        <w:color w:val="002060"/>
        <w:sz w:val="12"/>
      </w:rPr>
    </w:pPr>
  </w:p>
  <w:p w14:paraId="6C4DDC75" w14:textId="55DFF5BB" w:rsidR="00581351" w:rsidRPr="005D2203" w:rsidRDefault="00581351" w:rsidP="00581351">
    <w:pPr>
      <w:tabs>
        <w:tab w:val="center" w:pos="4680"/>
        <w:tab w:val="right" w:pos="9360"/>
        <w:tab w:val="right" w:pos="10800"/>
      </w:tabs>
      <w:spacing w:after="0" w:line="240" w:lineRule="auto"/>
      <w:rPr>
        <w:rFonts w:eastAsia="Calibri" w:cstheme="minorHAnsi"/>
        <w:color w:val="002060"/>
        <w:sz w:val="12"/>
        <w:szCs w:val="12"/>
      </w:rPr>
    </w:pPr>
    <w:r w:rsidRPr="005D2203">
      <w:rPr>
        <w:rFonts w:eastAsia="Calibri" w:cstheme="minorHAnsi"/>
        <w:color w:val="002060"/>
        <w:sz w:val="16"/>
        <w:szCs w:val="32"/>
      </w:rPr>
      <w:t>Copyright © 2023 All Rights Reserved</w:t>
    </w:r>
    <w:r w:rsidRPr="005D2203">
      <w:rPr>
        <w:rFonts w:eastAsia="Calibri" w:cstheme="minorHAnsi"/>
        <w:color w:val="002060"/>
        <w:sz w:val="12"/>
      </w:rPr>
      <w:tab/>
    </w:r>
    <w:r w:rsidRPr="005D2203">
      <w:rPr>
        <w:rFonts w:eastAsia="Calibri" w:cstheme="minorHAnsi"/>
        <w:color w:val="002060"/>
        <w:sz w:val="20"/>
        <w:szCs w:val="20"/>
      </w:rPr>
      <w:t xml:space="preserve">- </w:t>
    </w:r>
    <w:r w:rsidRPr="005D2203">
      <w:rPr>
        <w:rFonts w:eastAsia="Calibri" w:cstheme="minorHAnsi"/>
        <w:b/>
        <w:bCs/>
        <w:color w:val="002060"/>
        <w:sz w:val="20"/>
        <w:szCs w:val="20"/>
      </w:rPr>
      <w:fldChar w:fldCharType="begin"/>
    </w:r>
    <w:r w:rsidRPr="005D2203">
      <w:rPr>
        <w:rFonts w:eastAsia="Calibri" w:cstheme="minorHAnsi"/>
        <w:b/>
        <w:bCs/>
        <w:color w:val="002060"/>
        <w:sz w:val="20"/>
        <w:szCs w:val="20"/>
      </w:rPr>
      <w:instrText xml:space="preserve"> PAGE  \* Arabic  \* MERGEFORMAT </w:instrText>
    </w:r>
    <w:r w:rsidRPr="005D2203">
      <w:rPr>
        <w:rFonts w:eastAsia="Calibri" w:cstheme="minorHAnsi"/>
        <w:b/>
        <w:bCs/>
        <w:color w:val="002060"/>
        <w:sz w:val="20"/>
        <w:szCs w:val="20"/>
      </w:rPr>
      <w:fldChar w:fldCharType="separate"/>
    </w:r>
    <w:r w:rsidRPr="005D2203">
      <w:rPr>
        <w:rFonts w:eastAsia="Calibri" w:cstheme="minorHAnsi"/>
        <w:b/>
        <w:bCs/>
        <w:color w:val="002060"/>
        <w:sz w:val="20"/>
        <w:szCs w:val="20"/>
      </w:rPr>
      <w:t>1</w:t>
    </w:r>
    <w:r w:rsidRPr="005D2203">
      <w:rPr>
        <w:rFonts w:eastAsia="Calibri" w:cstheme="minorHAnsi"/>
        <w:b/>
        <w:bCs/>
        <w:color w:val="002060"/>
        <w:sz w:val="20"/>
        <w:szCs w:val="20"/>
      </w:rPr>
      <w:fldChar w:fldCharType="end"/>
    </w:r>
    <w:r w:rsidRPr="005D2203">
      <w:rPr>
        <w:rFonts w:eastAsia="Calibri" w:cstheme="minorHAnsi"/>
        <w:b/>
        <w:bCs/>
        <w:color w:val="002060"/>
        <w:sz w:val="20"/>
        <w:szCs w:val="20"/>
      </w:rPr>
      <w:t xml:space="preserve"> -</w:t>
    </w:r>
    <w:r w:rsidRPr="005D2203">
      <w:rPr>
        <w:rFonts w:eastAsia="Calibri" w:cstheme="minorHAnsi"/>
        <w:color w:val="002060"/>
        <w:sz w:val="20"/>
      </w:rPr>
      <w:t xml:space="preserve"> </w:t>
    </w:r>
    <w:r w:rsidRPr="005D2203">
      <w:rPr>
        <w:rFonts w:eastAsia="Calibri" w:cstheme="minorHAnsi"/>
        <w:color w:val="002060"/>
        <w:sz w:val="20"/>
      </w:rPr>
      <w:tab/>
    </w:r>
    <w:r w:rsidR="005D2203" w:rsidRPr="005D2203">
      <w:rPr>
        <w:rFonts w:eastAsia="Calibri" w:cstheme="minorHAnsi"/>
        <w:color w:val="002060"/>
        <w:sz w:val="16"/>
        <w:szCs w:val="16"/>
      </w:rPr>
      <w:t>MDS FY2024 T</w:t>
    </w:r>
    <w:r w:rsidRPr="005D2203">
      <w:rPr>
        <w:rFonts w:eastAsia="Calibri" w:cstheme="minorHAnsi"/>
        <w:color w:val="002060"/>
        <w:sz w:val="16"/>
        <w:szCs w:val="16"/>
      </w:rPr>
      <w:t>op 10 Things to Know 11.1</w:t>
    </w:r>
    <w:r w:rsidR="005D4EFE" w:rsidRPr="005D2203">
      <w:rPr>
        <w:rFonts w:eastAsia="Calibri" w:cstheme="minorHAnsi"/>
        <w:color w:val="002060"/>
        <w:sz w:val="16"/>
        <w:szCs w:val="16"/>
      </w:rPr>
      <w:t>8</w:t>
    </w:r>
    <w:r w:rsidRPr="005D2203">
      <w:rPr>
        <w:rFonts w:eastAsia="Calibri" w:cstheme="minorHAnsi"/>
        <w:color w:val="002060"/>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9E4A" w14:textId="77777777" w:rsidR="00EF7334" w:rsidRDefault="00EF7334" w:rsidP="00581351">
      <w:pPr>
        <w:spacing w:after="0" w:line="240" w:lineRule="auto"/>
      </w:pPr>
      <w:r>
        <w:separator/>
      </w:r>
    </w:p>
  </w:footnote>
  <w:footnote w:type="continuationSeparator" w:id="0">
    <w:p w14:paraId="0627C1B7" w14:textId="77777777" w:rsidR="00EF7334" w:rsidRDefault="00EF7334" w:rsidP="0058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07FC" w14:textId="77777777" w:rsidR="008D2401" w:rsidRDefault="00581351" w:rsidP="00581351">
    <w:pPr>
      <w:spacing w:after="0" w:line="240" w:lineRule="auto"/>
      <w:jc w:val="center"/>
      <w:rPr>
        <w:rFonts w:ascii="Calibri Light" w:hAnsi="Calibri Light"/>
        <w:b/>
        <w:color w:val="002060"/>
        <w:sz w:val="24"/>
        <w:szCs w:val="24"/>
      </w:rPr>
    </w:pPr>
    <w:bookmarkStart w:id="0" w:name="_Hlk137121985"/>
    <w:bookmarkStart w:id="1" w:name="_Hlk137121986"/>
    <w:bookmarkStart w:id="2" w:name="_Hlk21007589"/>
    <w:r w:rsidRPr="00581351">
      <w:rPr>
        <w:rFonts w:ascii="Tahoma" w:hAnsi="Tahoma" w:cs="Tahoma"/>
        <w:bCs/>
        <w:noProof/>
        <w:color w:val="002060"/>
        <w:sz w:val="24"/>
        <w:szCs w:val="24"/>
      </w:rPr>
      <w:drawing>
        <wp:anchor distT="0" distB="0" distL="114300" distR="114300" simplePos="0" relativeHeight="251661312" behindDoc="0" locked="0" layoutInCell="1" allowOverlap="1" wp14:anchorId="6DCF14C2" wp14:editId="1DD7860D">
          <wp:simplePos x="0" y="0"/>
          <wp:positionH relativeFrom="column">
            <wp:posOffset>5039995</wp:posOffset>
          </wp:positionH>
          <wp:positionV relativeFrom="paragraph">
            <wp:posOffset>-122555</wp:posOffset>
          </wp:positionV>
          <wp:extent cx="1054728" cy="320284"/>
          <wp:effectExtent l="0" t="0" r="0" b="3810"/>
          <wp:wrapNone/>
          <wp:docPr id="81021646" name="Picture 81021646" descr="A black background with pink and yellow text&#10;&#10;Description automatically generated with low confidence">
            <a:extLst xmlns:a="http://schemas.openxmlformats.org/drawingml/2006/main">
              <a:ext uri="{FF2B5EF4-FFF2-40B4-BE49-F238E27FC236}">
                <a16:creationId xmlns:a16="http://schemas.microsoft.com/office/drawing/2014/main" id="{D00B45E2-BFD1-46F3-98EA-27CF478858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pink and yellow text&#10;&#10;Description automatically generated with low confidence">
                    <a:extLst>
                      <a:ext uri="{FF2B5EF4-FFF2-40B4-BE49-F238E27FC236}">
                        <a16:creationId xmlns:a16="http://schemas.microsoft.com/office/drawing/2014/main" id="{D00B45E2-BFD1-46F3-98EA-27CF4788580B}"/>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054728" cy="320284"/>
                  </a:xfrm>
                  <a:prstGeom prst="rect">
                    <a:avLst/>
                  </a:prstGeom>
                </pic:spPr>
              </pic:pic>
            </a:graphicData>
          </a:graphic>
          <wp14:sizeRelH relativeFrom="margin">
            <wp14:pctWidth>0</wp14:pctWidth>
          </wp14:sizeRelH>
          <wp14:sizeRelV relativeFrom="margin">
            <wp14:pctHeight>0</wp14:pctHeight>
          </wp14:sizeRelV>
        </wp:anchor>
      </w:drawing>
    </w:r>
    <w:r w:rsidRPr="00581351">
      <w:rPr>
        <w:rFonts w:ascii="Tahoma" w:hAnsi="Tahoma" w:cs="Tahoma"/>
        <w:bCs/>
        <w:noProof/>
        <w:color w:val="002060"/>
        <w:sz w:val="24"/>
        <w:szCs w:val="24"/>
      </w:rPr>
      <w:drawing>
        <wp:anchor distT="0" distB="0" distL="114300" distR="114300" simplePos="0" relativeHeight="251659264" behindDoc="0" locked="0" layoutInCell="1" allowOverlap="1" wp14:anchorId="3C4F69E4" wp14:editId="703E6F65">
          <wp:simplePos x="0" y="0"/>
          <wp:positionH relativeFrom="column">
            <wp:posOffset>-27305</wp:posOffset>
          </wp:positionH>
          <wp:positionV relativeFrom="paragraph">
            <wp:posOffset>-124460</wp:posOffset>
          </wp:positionV>
          <wp:extent cx="1054728" cy="320284"/>
          <wp:effectExtent l="0" t="0" r="0" b="3810"/>
          <wp:wrapNone/>
          <wp:docPr id="3" name="Picture 2" descr="A black background with pink and yellow text&#10;&#10;Description automatically generated with low confidence">
            <a:extLst xmlns:a="http://schemas.openxmlformats.org/drawingml/2006/main">
              <a:ext uri="{FF2B5EF4-FFF2-40B4-BE49-F238E27FC236}">
                <a16:creationId xmlns:a16="http://schemas.microsoft.com/office/drawing/2014/main" id="{D00B45E2-BFD1-46F3-98EA-27CF478858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pink and yellow text&#10;&#10;Description automatically generated with low confidence">
                    <a:extLst>
                      <a:ext uri="{FF2B5EF4-FFF2-40B4-BE49-F238E27FC236}">
                        <a16:creationId xmlns:a16="http://schemas.microsoft.com/office/drawing/2014/main" id="{D00B45E2-BFD1-46F3-98EA-27CF4788580B}"/>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054728" cy="320284"/>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8D2401">
      <w:rPr>
        <w:rFonts w:ascii="Calibri Light" w:hAnsi="Calibri Light"/>
        <w:b/>
        <w:color w:val="002060"/>
        <w:sz w:val="24"/>
        <w:szCs w:val="24"/>
      </w:rPr>
      <w:t>MDS FY 2024</w:t>
    </w:r>
  </w:p>
  <w:p w14:paraId="7CE9CD96" w14:textId="428C69B1" w:rsidR="00581351" w:rsidRPr="00581351" w:rsidRDefault="00581351" w:rsidP="008D2401">
    <w:pPr>
      <w:spacing w:after="0" w:line="240" w:lineRule="auto"/>
      <w:jc w:val="center"/>
      <w:rPr>
        <w:color w:val="002060"/>
        <w:sz w:val="24"/>
        <w:szCs w:val="24"/>
      </w:rPr>
    </w:pPr>
    <w:r>
      <w:rPr>
        <w:rFonts w:ascii="Calibri Light" w:hAnsi="Calibri Light"/>
        <w:b/>
        <w:color w:val="002060"/>
        <w:sz w:val="24"/>
        <w:szCs w:val="24"/>
      </w:rPr>
      <w:t>Top 1</w:t>
    </w:r>
    <w:r w:rsidR="00EC5DD9">
      <w:rPr>
        <w:rFonts w:ascii="Calibri Light" w:hAnsi="Calibri Light"/>
        <w:b/>
        <w:color w:val="002060"/>
        <w:sz w:val="24"/>
        <w:szCs w:val="24"/>
      </w:rPr>
      <w:t>1</w:t>
    </w:r>
    <w:r>
      <w:rPr>
        <w:rFonts w:ascii="Calibri Light" w:hAnsi="Calibri Light"/>
        <w:b/>
        <w:color w:val="002060"/>
        <w:sz w:val="24"/>
        <w:szCs w:val="24"/>
      </w:rPr>
      <w:t xml:space="preserve"> Things to Know Related to the FY 2024 MDS</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52D"/>
    <w:multiLevelType w:val="multilevel"/>
    <w:tmpl w:val="6C42A2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5110D"/>
    <w:multiLevelType w:val="hybridMultilevel"/>
    <w:tmpl w:val="9830E7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475E58"/>
    <w:multiLevelType w:val="hybridMultilevel"/>
    <w:tmpl w:val="475E63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9B62B6"/>
    <w:multiLevelType w:val="multilevel"/>
    <w:tmpl w:val="39B2D4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B0438"/>
    <w:multiLevelType w:val="multilevel"/>
    <w:tmpl w:val="126AB3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220FD"/>
    <w:multiLevelType w:val="hybridMultilevel"/>
    <w:tmpl w:val="475E63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7E20E2"/>
    <w:multiLevelType w:val="hybridMultilevel"/>
    <w:tmpl w:val="475E6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270E8C"/>
    <w:multiLevelType w:val="hybridMultilevel"/>
    <w:tmpl w:val="621C5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F02D32"/>
    <w:multiLevelType w:val="hybridMultilevel"/>
    <w:tmpl w:val="39304F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6714169">
    <w:abstractNumId w:val="6"/>
  </w:num>
  <w:num w:numId="2" w16cid:durableId="1040666945">
    <w:abstractNumId w:val="5"/>
  </w:num>
  <w:num w:numId="3" w16cid:durableId="242227309">
    <w:abstractNumId w:val="0"/>
  </w:num>
  <w:num w:numId="4" w16cid:durableId="226843256">
    <w:abstractNumId w:val="1"/>
  </w:num>
  <w:num w:numId="5" w16cid:durableId="986596242">
    <w:abstractNumId w:val="3"/>
  </w:num>
  <w:num w:numId="6" w16cid:durableId="600652462">
    <w:abstractNumId w:val="8"/>
  </w:num>
  <w:num w:numId="7" w16cid:durableId="1703479311">
    <w:abstractNumId w:val="4"/>
  </w:num>
  <w:num w:numId="8" w16cid:durableId="538247864">
    <w:abstractNumId w:val="2"/>
  </w:num>
  <w:num w:numId="9" w16cid:durableId="1595745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F"/>
    <w:rsid w:val="00004066"/>
    <w:rsid w:val="0003130B"/>
    <w:rsid w:val="000363D9"/>
    <w:rsid w:val="001036ED"/>
    <w:rsid w:val="00113B18"/>
    <w:rsid w:val="001205E3"/>
    <w:rsid w:val="001214AF"/>
    <w:rsid w:val="001765F6"/>
    <w:rsid w:val="001D0B58"/>
    <w:rsid w:val="001D4EAE"/>
    <w:rsid w:val="00201EBC"/>
    <w:rsid w:val="002409CD"/>
    <w:rsid w:val="00240BBB"/>
    <w:rsid w:val="00284F47"/>
    <w:rsid w:val="003212DF"/>
    <w:rsid w:val="00332A30"/>
    <w:rsid w:val="00350444"/>
    <w:rsid w:val="003623CC"/>
    <w:rsid w:val="00372844"/>
    <w:rsid w:val="0039475C"/>
    <w:rsid w:val="00394C6F"/>
    <w:rsid w:val="0039581A"/>
    <w:rsid w:val="004041B2"/>
    <w:rsid w:val="00490C76"/>
    <w:rsid w:val="004D6F79"/>
    <w:rsid w:val="004E5F9F"/>
    <w:rsid w:val="0052158C"/>
    <w:rsid w:val="00545806"/>
    <w:rsid w:val="00581351"/>
    <w:rsid w:val="005D04B0"/>
    <w:rsid w:val="005D2203"/>
    <w:rsid w:val="005D4EFE"/>
    <w:rsid w:val="006559E7"/>
    <w:rsid w:val="006B30E4"/>
    <w:rsid w:val="006C638F"/>
    <w:rsid w:val="00724496"/>
    <w:rsid w:val="00726EE8"/>
    <w:rsid w:val="0077399A"/>
    <w:rsid w:val="007C6E7F"/>
    <w:rsid w:val="007F02B3"/>
    <w:rsid w:val="007F4D16"/>
    <w:rsid w:val="00823383"/>
    <w:rsid w:val="00824342"/>
    <w:rsid w:val="0083390B"/>
    <w:rsid w:val="0087724F"/>
    <w:rsid w:val="008D2401"/>
    <w:rsid w:val="009213C2"/>
    <w:rsid w:val="00934D3A"/>
    <w:rsid w:val="00936812"/>
    <w:rsid w:val="00956E3B"/>
    <w:rsid w:val="009969B2"/>
    <w:rsid w:val="009A04C2"/>
    <w:rsid w:val="009B3834"/>
    <w:rsid w:val="009D4AA3"/>
    <w:rsid w:val="009D5727"/>
    <w:rsid w:val="00A31B23"/>
    <w:rsid w:val="00A91F7F"/>
    <w:rsid w:val="00AC6C47"/>
    <w:rsid w:val="00AD3680"/>
    <w:rsid w:val="00B62023"/>
    <w:rsid w:val="00BD63AE"/>
    <w:rsid w:val="00C00F1B"/>
    <w:rsid w:val="00C55BE6"/>
    <w:rsid w:val="00C63341"/>
    <w:rsid w:val="00CB687C"/>
    <w:rsid w:val="00CC4C88"/>
    <w:rsid w:val="00CC58A7"/>
    <w:rsid w:val="00D137BA"/>
    <w:rsid w:val="00D16D30"/>
    <w:rsid w:val="00D33317"/>
    <w:rsid w:val="00D43722"/>
    <w:rsid w:val="00DA3F72"/>
    <w:rsid w:val="00DD6CC0"/>
    <w:rsid w:val="00DE15F7"/>
    <w:rsid w:val="00DF177B"/>
    <w:rsid w:val="00E019DA"/>
    <w:rsid w:val="00E2400C"/>
    <w:rsid w:val="00E30B1F"/>
    <w:rsid w:val="00E4392A"/>
    <w:rsid w:val="00EA038E"/>
    <w:rsid w:val="00EC5DD9"/>
    <w:rsid w:val="00EF7334"/>
    <w:rsid w:val="00F254B7"/>
    <w:rsid w:val="00F33A43"/>
    <w:rsid w:val="00F668F3"/>
    <w:rsid w:val="00FB50BF"/>
    <w:rsid w:val="00FC12FC"/>
    <w:rsid w:val="00FF2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C66D5"/>
  <w15:chartTrackingRefBased/>
  <w15:docId w15:val="{A3F29564-BD0B-4F49-BC0D-589B380B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2401"/>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CC"/>
    <w:pPr>
      <w:ind w:left="720"/>
      <w:contextualSpacing/>
    </w:pPr>
  </w:style>
  <w:style w:type="paragraph" w:styleId="Header">
    <w:name w:val="header"/>
    <w:basedOn w:val="Normal"/>
    <w:link w:val="HeaderChar"/>
    <w:uiPriority w:val="99"/>
    <w:unhideWhenUsed/>
    <w:rsid w:val="00581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351"/>
  </w:style>
  <w:style w:type="paragraph" w:styleId="Footer">
    <w:name w:val="footer"/>
    <w:basedOn w:val="Normal"/>
    <w:link w:val="FooterChar"/>
    <w:uiPriority w:val="99"/>
    <w:unhideWhenUsed/>
    <w:rsid w:val="00581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351"/>
  </w:style>
  <w:style w:type="character" w:customStyle="1" w:styleId="Heading3Char">
    <w:name w:val="Heading 3 Char"/>
    <w:basedOn w:val="DefaultParagraphFont"/>
    <w:link w:val="Heading3"/>
    <w:uiPriority w:val="9"/>
    <w:rsid w:val="008D2401"/>
    <w:rPr>
      <w:rFonts w:ascii="Times New Roman" w:eastAsia="Times New Roman" w:hAnsi="Times New Roman" w:cs="Times New Roman"/>
      <w:b/>
      <w:bCs/>
      <w:sz w:val="27"/>
      <w:szCs w:val="27"/>
      <w:lang w:eastAsia="zh-CN"/>
    </w:rPr>
  </w:style>
  <w:style w:type="character" w:styleId="Hyperlink">
    <w:name w:val="Hyperlink"/>
    <w:basedOn w:val="DefaultParagraphFont"/>
    <w:uiPriority w:val="99"/>
    <w:unhideWhenUsed/>
    <w:rsid w:val="008D2401"/>
    <w:rPr>
      <w:color w:val="0000FF"/>
      <w:u w:val="single"/>
    </w:rPr>
  </w:style>
  <w:style w:type="character" w:styleId="UnresolvedMention">
    <w:name w:val="Unresolved Mention"/>
    <w:basedOn w:val="DefaultParagraphFont"/>
    <w:uiPriority w:val="99"/>
    <w:semiHidden/>
    <w:unhideWhenUsed/>
    <w:rsid w:val="008D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0398">
      <w:bodyDiv w:val="1"/>
      <w:marLeft w:val="0"/>
      <w:marRight w:val="0"/>
      <w:marTop w:val="0"/>
      <w:marBottom w:val="0"/>
      <w:divBdr>
        <w:top w:val="none" w:sz="0" w:space="0" w:color="auto"/>
        <w:left w:val="none" w:sz="0" w:space="0" w:color="auto"/>
        <w:bottom w:val="none" w:sz="0" w:space="0" w:color="auto"/>
        <w:right w:val="none" w:sz="0" w:space="0" w:color="auto"/>
      </w:divBdr>
      <w:divsChild>
        <w:div w:id="1055659837">
          <w:marLeft w:val="0"/>
          <w:marRight w:val="0"/>
          <w:marTop w:val="0"/>
          <w:marBottom w:val="0"/>
          <w:divBdr>
            <w:top w:val="none" w:sz="0" w:space="0" w:color="auto"/>
            <w:left w:val="none" w:sz="0" w:space="0" w:color="auto"/>
            <w:bottom w:val="none" w:sz="0" w:space="0" w:color="auto"/>
            <w:right w:val="none" w:sz="0" w:space="0" w:color="auto"/>
          </w:divBdr>
        </w:div>
        <w:div w:id="62682887">
          <w:marLeft w:val="0"/>
          <w:marRight w:val="0"/>
          <w:marTop w:val="0"/>
          <w:marBottom w:val="0"/>
          <w:divBdr>
            <w:top w:val="none" w:sz="0" w:space="0" w:color="auto"/>
            <w:left w:val="none" w:sz="0" w:space="0" w:color="auto"/>
            <w:bottom w:val="none" w:sz="0" w:space="0" w:color="auto"/>
            <w:right w:val="none" w:sz="0" w:space="0" w:color="auto"/>
          </w:divBdr>
        </w:div>
        <w:div w:id="1817844262">
          <w:marLeft w:val="0"/>
          <w:marRight w:val="0"/>
          <w:marTop w:val="0"/>
          <w:marBottom w:val="0"/>
          <w:divBdr>
            <w:top w:val="none" w:sz="0" w:space="0" w:color="auto"/>
            <w:left w:val="none" w:sz="0" w:space="0" w:color="auto"/>
            <w:bottom w:val="none" w:sz="0" w:space="0" w:color="auto"/>
            <w:right w:val="none" w:sz="0" w:space="0" w:color="auto"/>
          </w:divBdr>
        </w:div>
        <w:div w:id="1076440480">
          <w:marLeft w:val="0"/>
          <w:marRight w:val="0"/>
          <w:marTop w:val="0"/>
          <w:marBottom w:val="0"/>
          <w:divBdr>
            <w:top w:val="none" w:sz="0" w:space="0" w:color="auto"/>
            <w:left w:val="none" w:sz="0" w:space="0" w:color="auto"/>
            <w:bottom w:val="none" w:sz="0" w:space="0" w:color="auto"/>
            <w:right w:val="none" w:sz="0" w:space="0" w:color="auto"/>
          </w:divBdr>
        </w:div>
        <w:div w:id="1735932722">
          <w:marLeft w:val="0"/>
          <w:marRight w:val="0"/>
          <w:marTop w:val="0"/>
          <w:marBottom w:val="0"/>
          <w:divBdr>
            <w:top w:val="none" w:sz="0" w:space="0" w:color="auto"/>
            <w:left w:val="none" w:sz="0" w:space="0" w:color="auto"/>
            <w:bottom w:val="none" w:sz="0" w:space="0" w:color="auto"/>
            <w:right w:val="none" w:sz="0" w:space="0" w:color="auto"/>
          </w:divBdr>
        </w:div>
      </w:divsChild>
    </w:div>
    <w:div w:id="277951562">
      <w:bodyDiv w:val="1"/>
      <w:marLeft w:val="0"/>
      <w:marRight w:val="0"/>
      <w:marTop w:val="0"/>
      <w:marBottom w:val="0"/>
      <w:divBdr>
        <w:top w:val="none" w:sz="0" w:space="0" w:color="auto"/>
        <w:left w:val="none" w:sz="0" w:space="0" w:color="auto"/>
        <w:bottom w:val="none" w:sz="0" w:space="0" w:color="auto"/>
        <w:right w:val="none" w:sz="0" w:space="0" w:color="auto"/>
      </w:divBdr>
    </w:div>
    <w:div w:id="1079447531">
      <w:bodyDiv w:val="1"/>
      <w:marLeft w:val="0"/>
      <w:marRight w:val="0"/>
      <w:marTop w:val="0"/>
      <w:marBottom w:val="0"/>
      <w:divBdr>
        <w:top w:val="none" w:sz="0" w:space="0" w:color="auto"/>
        <w:left w:val="none" w:sz="0" w:space="0" w:color="auto"/>
        <w:bottom w:val="none" w:sz="0" w:space="0" w:color="auto"/>
        <w:right w:val="none" w:sz="0" w:space="0" w:color="auto"/>
      </w:divBdr>
    </w:div>
    <w:div w:id="1102411933">
      <w:bodyDiv w:val="1"/>
      <w:marLeft w:val="0"/>
      <w:marRight w:val="0"/>
      <w:marTop w:val="0"/>
      <w:marBottom w:val="0"/>
      <w:divBdr>
        <w:top w:val="none" w:sz="0" w:space="0" w:color="auto"/>
        <w:left w:val="none" w:sz="0" w:space="0" w:color="auto"/>
        <w:bottom w:val="none" w:sz="0" w:space="0" w:color="auto"/>
        <w:right w:val="none" w:sz="0" w:space="0" w:color="auto"/>
      </w:divBdr>
      <w:divsChild>
        <w:div w:id="1377192968">
          <w:marLeft w:val="0"/>
          <w:marRight w:val="0"/>
          <w:marTop w:val="0"/>
          <w:marBottom w:val="0"/>
          <w:divBdr>
            <w:top w:val="none" w:sz="0" w:space="0" w:color="auto"/>
            <w:left w:val="none" w:sz="0" w:space="0" w:color="auto"/>
            <w:bottom w:val="none" w:sz="0" w:space="0" w:color="auto"/>
            <w:right w:val="none" w:sz="0" w:space="0" w:color="auto"/>
          </w:divBdr>
          <w:divsChild>
            <w:div w:id="1331640930">
              <w:marLeft w:val="0"/>
              <w:marRight w:val="0"/>
              <w:marTop w:val="0"/>
              <w:marBottom w:val="0"/>
              <w:divBdr>
                <w:top w:val="none" w:sz="0" w:space="0" w:color="auto"/>
                <w:left w:val="none" w:sz="0" w:space="0" w:color="auto"/>
                <w:bottom w:val="none" w:sz="0" w:space="0" w:color="auto"/>
                <w:right w:val="none" w:sz="0" w:space="0" w:color="auto"/>
              </w:divBdr>
              <w:divsChild>
                <w:div w:id="940333251">
                  <w:marLeft w:val="0"/>
                  <w:marRight w:val="0"/>
                  <w:marTop w:val="0"/>
                  <w:marBottom w:val="0"/>
                  <w:divBdr>
                    <w:top w:val="none" w:sz="0" w:space="0" w:color="auto"/>
                    <w:left w:val="none" w:sz="0" w:space="0" w:color="auto"/>
                    <w:bottom w:val="none" w:sz="0" w:space="0" w:color="auto"/>
                    <w:right w:val="none" w:sz="0" w:space="0" w:color="auto"/>
                  </w:divBdr>
                  <w:divsChild>
                    <w:div w:id="1292400963">
                      <w:marLeft w:val="0"/>
                      <w:marRight w:val="0"/>
                      <w:marTop w:val="0"/>
                      <w:marBottom w:val="240"/>
                      <w:divBdr>
                        <w:top w:val="none" w:sz="0" w:space="0" w:color="auto"/>
                        <w:left w:val="none" w:sz="0" w:space="0" w:color="auto"/>
                        <w:bottom w:val="none" w:sz="0" w:space="0" w:color="auto"/>
                        <w:right w:val="none" w:sz="0" w:space="0" w:color="auto"/>
                      </w:divBdr>
                      <w:divsChild>
                        <w:div w:id="13404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12488">
          <w:marLeft w:val="0"/>
          <w:marRight w:val="0"/>
          <w:marTop w:val="0"/>
          <w:marBottom w:val="0"/>
          <w:divBdr>
            <w:top w:val="none" w:sz="0" w:space="0" w:color="auto"/>
            <w:left w:val="none" w:sz="0" w:space="0" w:color="auto"/>
            <w:bottom w:val="none" w:sz="0" w:space="0" w:color="auto"/>
            <w:right w:val="none" w:sz="0" w:space="0" w:color="auto"/>
          </w:divBdr>
          <w:divsChild>
            <w:div w:id="198395558">
              <w:marLeft w:val="0"/>
              <w:marRight w:val="0"/>
              <w:marTop w:val="0"/>
              <w:marBottom w:val="0"/>
              <w:divBdr>
                <w:top w:val="none" w:sz="0" w:space="0" w:color="auto"/>
                <w:left w:val="none" w:sz="0" w:space="0" w:color="auto"/>
                <w:bottom w:val="none" w:sz="0" w:space="0" w:color="auto"/>
                <w:right w:val="none" w:sz="0" w:space="0" w:color="auto"/>
              </w:divBdr>
              <w:divsChild>
                <w:div w:id="1841777803">
                  <w:marLeft w:val="0"/>
                  <w:marRight w:val="0"/>
                  <w:marTop w:val="0"/>
                  <w:marBottom w:val="0"/>
                  <w:divBdr>
                    <w:top w:val="none" w:sz="0" w:space="0" w:color="auto"/>
                    <w:left w:val="none" w:sz="0" w:space="0" w:color="auto"/>
                    <w:bottom w:val="none" w:sz="0" w:space="0" w:color="auto"/>
                    <w:right w:val="none" w:sz="0" w:space="0" w:color="auto"/>
                  </w:divBdr>
                  <w:divsChild>
                    <w:div w:id="526334536">
                      <w:marLeft w:val="0"/>
                      <w:marRight w:val="0"/>
                      <w:marTop w:val="0"/>
                      <w:marBottom w:val="480"/>
                      <w:divBdr>
                        <w:top w:val="none" w:sz="0" w:space="0" w:color="auto"/>
                        <w:left w:val="none" w:sz="0" w:space="0" w:color="auto"/>
                        <w:bottom w:val="none" w:sz="0" w:space="0" w:color="auto"/>
                        <w:right w:val="none" w:sz="0" w:space="0" w:color="auto"/>
                      </w:divBdr>
                      <w:divsChild>
                        <w:div w:id="18361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087198">
      <w:bodyDiv w:val="1"/>
      <w:marLeft w:val="0"/>
      <w:marRight w:val="0"/>
      <w:marTop w:val="0"/>
      <w:marBottom w:val="0"/>
      <w:divBdr>
        <w:top w:val="none" w:sz="0" w:space="0" w:color="auto"/>
        <w:left w:val="none" w:sz="0" w:space="0" w:color="auto"/>
        <w:bottom w:val="none" w:sz="0" w:space="0" w:color="auto"/>
        <w:right w:val="none" w:sz="0" w:space="0" w:color="auto"/>
      </w:divBdr>
    </w:div>
    <w:div w:id="1375077471">
      <w:bodyDiv w:val="1"/>
      <w:marLeft w:val="0"/>
      <w:marRight w:val="0"/>
      <w:marTop w:val="0"/>
      <w:marBottom w:val="0"/>
      <w:divBdr>
        <w:top w:val="none" w:sz="0" w:space="0" w:color="auto"/>
        <w:left w:val="none" w:sz="0" w:space="0" w:color="auto"/>
        <w:bottom w:val="none" w:sz="0" w:space="0" w:color="auto"/>
        <w:right w:val="none" w:sz="0" w:space="0" w:color="auto"/>
      </w:divBdr>
    </w:div>
    <w:div w:id="1704162661">
      <w:bodyDiv w:val="1"/>
      <w:marLeft w:val="0"/>
      <w:marRight w:val="0"/>
      <w:marTop w:val="0"/>
      <w:marBottom w:val="0"/>
      <w:divBdr>
        <w:top w:val="none" w:sz="0" w:space="0" w:color="auto"/>
        <w:left w:val="none" w:sz="0" w:space="0" w:color="auto"/>
        <w:bottom w:val="none" w:sz="0" w:space="0" w:color="auto"/>
        <w:right w:val="none" w:sz="0" w:space="0" w:color="auto"/>
      </w:divBdr>
    </w:div>
    <w:div w:id="1780833717">
      <w:bodyDiv w:val="1"/>
      <w:marLeft w:val="0"/>
      <w:marRight w:val="0"/>
      <w:marTop w:val="0"/>
      <w:marBottom w:val="0"/>
      <w:divBdr>
        <w:top w:val="none" w:sz="0" w:space="0" w:color="auto"/>
        <w:left w:val="none" w:sz="0" w:space="0" w:color="auto"/>
        <w:bottom w:val="none" w:sz="0" w:space="0" w:color="auto"/>
        <w:right w:val="none" w:sz="0" w:space="0" w:color="auto"/>
      </w:divBdr>
    </w:div>
    <w:div w:id="188024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sbharmon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4B7F6-C76B-4331-A18B-15C16E31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Lee</dc:creator>
  <cp:keywords/>
  <dc:description/>
  <cp:lastModifiedBy>kristenbharmony@gmail.com</cp:lastModifiedBy>
  <cp:revision>2</cp:revision>
  <cp:lastPrinted>2023-11-16T18:21:00Z</cp:lastPrinted>
  <dcterms:created xsi:type="dcterms:W3CDTF">2023-11-20T21:36:00Z</dcterms:created>
  <dcterms:modified xsi:type="dcterms:W3CDTF">2023-11-20T21:36:00Z</dcterms:modified>
</cp:coreProperties>
</file>